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附件1：</w:t>
      </w:r>
      <w:bookmarkStart w:id="0" w:name="_GoBack"/>
      <w:bookmarkEnd w:id="0"/>
    </w:p>
    <w:p>
      <w:pPr>
        <w:jc w:val="center"/>
        <w:rPr>
          <w:rFonts w:ascii="华文中宋" w:hAnsi="华文中宋" w:eastAsia="华文中宋"/>
          <w:b/>
          <w:sz w:val="36"/>
          <w:szCs w:val="36"/>
        </w:rPr>
      </w:pPr>
      <w:r>
        <w:rPr>
          <w:rFonts w:hint="eastAsia" w:ascii="华文中宋" w:hAnsi="华文中宋" w:eastAsia="华文中宋"/>
          <w:b/>
          <w:sz w:val="36"/>
          <w:szCs w:val="36"/>
        </w:rPr>
        <w:t>工程技术学院研究生国家奖学金评审细则</w:t>
      </w:r>
    </w:p>
    <w:p>
      <w:pPr>
        <w:spacing w:before="381" w:beforeLines="100" w:line="360" w:lineRule="auto"/>
        <w:jc w:val="center"/>
        <w:rPr>
          <w:rFonts w:ascii="仿宋" w:hAnsi="仿宋" w:eastAsia="仿宋" w:cs="仿宋"/>
          <w:b/>
          <w:bCs/>
          <w:sz w:val="32"/>
          <w:szCs w:val="32"/>
        </w:rPr>
      </w:pPr>
      <w:r>
        <w:rPr>
          <w:rFonts w:hint="eastAsia" w:ascii="仿宋" w:hAnsi="仿宋" w:eastAsia="仿宋" w:cs="仿宋"/>
          <w:b/>
          <w:bCs/>
          <w:sz w:val="32"/>
          <w:szCs w:val="32"/>
        </w:rPr>
        <w:t>第一章  总  则</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第一条  为进一步规范我院研究生国家奖学金评审工作，确保评审质量和评审结果的权威性，激励研究生勤奋学习、专心科研，根据</w:t>
      </w:r>
      <w:r>
        <w:rPr>
          <w:rFonts w:hint="eastAsia" w:ascii="仿宋" w:hAnsi="仿宋" w:eastAsia="仿宋"/>
          <w:szCs w:val="32"/>
        </w:rPr>
        <w:t>《中国地质大学（北京）研究生国家奖学金管理暂行办法》（中地大京发〔2020〕112号），结合我院</w:t>
      </w:r>
      <w:r>
        <w:rPr>
          <w:rFonts w:hint="eastAsia" w:ascii="仿宋" w:hAnsi="仿宋" w:eastAsia="仿宋" w:cs="仿宋"/>
          <w:szCs w:val="32"/>
        </w:rPr>
        <w:t>实际，制定本细则。</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第二条  研究生国家奖学金用于奖励我院表现优异的全日制研究生（不含定向及委培研究生），旨在发展中国特色研究生教育，促进研究生培养机制改革，提高研究生培养质量。</w:t>
      </w:r>
    </w:p>
    <w:p>
      <w:pPr>
        <w:spacing w:before="381" w:beforeLines="100"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第二章  奖励标准与评选条件</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第三条  博士研究生国家奖学金奖励标准为每生每年3万元；硕士研究生国家奖学金奖励标准为每生每年2万元。</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第四条  研究生国家奖学金的基本申请条件：</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（一）具有中华人民共和国国籍；</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（二）热爱社会主义祖国，拥护中国共产党的领导；</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（三）遵守宪法和法律，遵守学校及学院规章制度；</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（四）诚实守信，道德品质优良；</w:t>
      </w:r>
    </w:p>
    <w:p>
      <w:pPr>
        <w:autoSpaceDE w:val="0"/>
        <w:autoSpaceDN w:val="0"/>
        <w:adjustRightInd/>
        <w:snapToGrid/>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（五）学习成绩优异，科研能力显著，发展潜力突出。</w:t>
      </w:r>
    </w:p>
    <w:p>
      <w:pPr>
        <w:pStyle w:val="3"/>
        <w:autoSpaceDE w:val="0"/>
        <w:autoSpaceDN w:val="0"/>
        <w:adjustRightInd/>
        <w:snapToGrid/>
        <w:spacing w:line="360" w:lineRule="auto"/>
        <w:ind w:firstLine="632" w:firstLineChars="200"/>
        <w:rPr>
          <w:rFonts w:ascii="仿宋" w:hAnsi="仿宋" w:eastAsia="仿宋" w:cs="仿宋"/>
          <w:spacing w:val="-2"/>
          <w:szCs w:val="32"/>
        </w:rPr>
      </w:pPr>
      <w:r>
        <w:rPr>
          <w:rFonts w:hint="eastAsia" w:ascii="仿宋" w:hAnsi="仿宋" w:eastAsia="仿宋" w:cs="仿宋"/>
          <w:spacing w:val="-2"/>
          <w:szCs w:val="32"/>
        </w:rPr>
        <w:t>第五条  在符合基本条件的前提下，申请人还应满足以下具体条件：</w:t>
      </w:r>
    </w:p>
    <w:p>
      <w:pPr>
        <w:pStyle w:val="3"/>
        <w:autoSpaceDE w:val="0"/>
        <w:autoSpaceDN w:val="0"/>
        <w:adjustRightInd/>
        <w:snapToGrid/>
        <w:spacing w:line="360" w:lineRule="auto"/>
        <w:ind w:firstLine="632" w:firstLineChars="200"/>
        <w:rPr>
          <w:rFonts w:ascii="仿宋" w:hAnsi="仿宋" w:eastAsia="仿宋" w:cs="仿宋"/>
          <w:szCs w:val="32"/>
        </w:rPr>
      </w:pPr>
      <w:r>
        <w:rPr>
          <w:rFonts w:hint="eastAsia" w:ascii="仿宋" w:hAnsi="仿宋" w:eastAsia="仿宋" w:cs="仿宋"/>
          <w:spacing w:val="-2"/>
          <w:szCs w:val="32"/>
        </w:rPr>
        <w:t>（一）年级要求：在学制期限基本修业年限内，在校二年级</w:t>
      </w:r>
      <w:r>
        <w:rPr>
          <w:rFonts w:hint="eastAsia" w:ascii="仿宋" w:hAnsi="仿宋" w:eastAsia="仿宋" w:cs="仿宋"/>
          <w:spacing w:val="-3"/>
          <w:szCs w:val="32"/>
        </w:rPr>
        <w:t>以上</w:t>
      </w:r>
      <w:r>
        <w:rPr>
          <w:rFonts w:hint="eastAsia" w:ascii="仿宋" w:hAnsi="仿宋" w:eastAsia="仿宋" w:cs="仿宋"/>
          <w:szCs w:val="32"/>
        </w:rPr>
        <w:t>（含二年级</w:t>
      </w:r>
      <w:r>
        <w:rPr>
          <w:rFonts w:hint="eastAsia" w:ascii="仿宋" w:hAnsi="仿宋" w:eastAsia="仿宋" w:cs="仿宋"/>
          <w:spacing w:val="-3"/>
          <w:szCs w:val="32"/>
        </w:rPr>
        <w:t>）的硕士、博士研究生（含直博生）。硕博连读博士阶段</w:t>
      </w:r>
      <w:r>
        <w:rPr>
          <w:rFonts w:hint="eastAsia" w:ascii="仿宋" w:hAnsi="仿宋" w:eastAsia="仿宋" w:cs="仿宋"/>
          <w:szCs w:val="32"/>
        </w:rPr>
        <w:t>一年级学生也可参评。</w:t>
      </w:r>
    </w:p>
    <w:p>
      <w:pPr>
        <w:pStyle w:val="3"/>
        <w:numPr>
          <w:ilvl w:val="0"/>
          <w:numId w:val="1"/>
        </w:numPr>
        <w:tabs>
          <w:tab w:val="clear" w:pos="0"/>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成绩要求：按规定完成课程学习，</w:t>
      </w:r>
      <w:r>
        <w:rPr>
          <w:rFonts w:hint="eastAsia" w:ascii="仿宋" w:hAnsi="仿宋" w:eastAsia="仿宋" w:cs="仿宋"/>
          <w:spacing w:val="6"/>
          <w:w w:val="95"/>
          <w:szCs w:val="32"/>
        </w:rPr>
        <w:t>无补考科目，</w:t>
      </w:r>
      <w:r>
        <w:rPr>
          <w:rFonts w:hint="eastAsia" w:ascii="仿宋" w:hAnsi="仿宋" w:eastAsia="仿宋" w:cs="仿宋"/>
          <w:szCs w:val="32"/>
        </w:rPr>
        <w:t>且学位必修课程成绩优良。</w:t>
      </w:r>
    </w:p>
    <w:p>
      <w:pPr>
        <w:pStyle w:val="3"/>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三）科研成果要求：参评学年内（上一年度9月1日至当年8月31日）科研成果突出。对学术型研究生，偏重考察其科研创新能力和体现创新能力的科研成果；对专业学位研究生，偏重考察其专业实践能力和适应专业岗位的综合素质。</w:t>
      </w:r>
    </w:p>
    <w:p>
      <w:pPr>
        <w:numPr>
          <w:ilvl w:val="0"/>
          <w:numId w:val="2"/>
        </w:numPr>
        <w:tabs>
          <w:tab w:val="clear" w:pos="0"/>
        </w:tabs>
        <w:adjustRightInd/>
        <w:snapToGrid/>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研究生出现以下任一情况，不具备当年研究生国家奖学金参评资格：</w:t>
      </w:r>
    </w:p>
    <w:p>
      <w:pPr>
        <w:numPr>
          <w:ilvl w:val="0"/>
          <w:numId w:val="3"/>
        </w:numPr>
        <w:tabs>
          <w:tab w:val="clear" w:pos="0"/>
        </w:tabs>
        <w:adjustRightInd/>
        <w:snapToGrid/>
        <w:spacing w:line="360" w:lineRule="auto"/>
        <w:ind w:firstLine="640" w:firstLineChars="200"/>
        <w:rPr>
          <w:rFonts w:ascii="仿宋" w:hAnsi="仿宋" w:eastAsia="仿宋"/>
          <w:spacing w:val="-10"/>
          <w:sz w:val="32"/>
          <w:szCs w:val="32"/>
        </w:rPr>
      </w:pPr>
      <w:r>
        <w:rPr>
          <w:rFonts w:hint="eastAsia" w:ascii="仿宋" w:hAnsi="仿宋" w:eastAsia="仿宋"/>
          <w:sz w:val="32"/>
          <w:szCs w:val="32"/>
        </w:rPr>
        <w:t>参</w:t>
      </w:r>
      <w:r>
        <w:rPr>
          <w:rFonts w:hint="eastAsia" w:ascii="仿宋" w:hAnsi="仿宋" w:eastAsia="仿宋"/>
          <w:spacing w:val="-10"/>
          <w:sz w:val="32"/>
          <w:szCs w:val="32"/>
        </w:rPr>
        <w:t>评学年违反国家法律、校纪校规受到纪律处分者；</w:t>
      </w:r>
    </w:p>
    <w:p>
      <w:pPr>
        <w:numPr>
          <w:ilvl w:val="0"/>
          <w:numId w:val="3"/>
        </w:numPr>
        <w:tabs>
          <w:tab w:val="clear" w:pos="0"/>
        </w:tabs>
        <w:adjustRightInd/>
        <w:snapToGrid/>
        <w:spacing w:line="360" w:lineRule="auto"/>
        <w:ind w:firstLine="640" w:firstLineChars="200"/>
        <w:rPr>
          <w:rFonts w:ascii="仿宋" w:hAnsi="仿宋" w:eastAsia="仿宋"/>
          <w:sz w:val="32"/>
          <w:szCs w:val="32"/>
        </w:rPr>
      </w:pPr>
      <w:r>
        <w:rPr>
          <w:rFonts w:hint="eastAsia" w:ascii="仿宋" w:hAnsi="仿宋" w:eastAsia="仿宋"/>
          <w:sz w:val="32"/>
          <w:szCs w:val="32"/>
        </w:rPr>
        <w:t>参评学年有抄袭剽窃、弄虚作假等学术不端行为经查证属实的；</w:t>
      </w:r>
    </w:p>
    <w:p>
      <w:pPr>
        <w:numPr>
          <w:ilvl w:val="0"/>
          <w:numId w:val="3"/>
        </w:numPr>
        <w:tabs>
          <w:tab w:val="clear" w:pos="0"/>
        </w:tabs>
        <w:adjustRightInd/>
        <w:snapToGrid/>
        <w:spacing w:line="360" w:lineRule="auto"/>
        <w:ind w:firstLine="640" w:firstLineChars="200"/>
        <w:rPr>
          <w:rFonts w:ascii="仿宋" w:hAnsi="仿宋" w:eastAsia="仿宋" w:cs="仿宋"/>
          <w:sz w:val="32"/>
          <w:szCs w:val="32"/>
        </w:rPr>
      </w:pPr>
      <w:r>
        <w:rPr>
          <w:rFonts w:hint="eastAsia" w:ascii="仿宋" w:hAnsi="仿宋" w:eastAsia="仿宋"/>
          <w:sz w:val="32"/>
          <w:szCs w:val="32"/>
        </w:rPr>
        <w:t>参评学年学籍状态处于休学、保留学籍者。</w:t>
      </w:r>
    </w:p>
    <w:p>
      <w:pPr>
        <w:numPr>
          <w:ilvl w:val="0"/>
          <w:numId w:val="2"/>
        </w:numPr>
        <w:tabs>
          <w:tab w:val="clear" w:pos="0"/>
        </w:tabs>
        <w:adjustRightInd/>
        <w:snapToGrid/>
        <w:spacing w:line="360" w:lineRule="auto"/>
        <w:ind w:firstLine="640" w:firstLineChars="200"/>
        <w:rPr>
          <w:rFonts w:ascii="仿宋" w:hAnsi="仿宋" w:eastAsia="仿宋" w:cs="仿宋"/>
          <w:sz w:val="32"/>
          <w:szCs w:val="32"/>
        </w:rPr>
      </w:pPr>
      <w:r>
        <w:rPr>
          <w:rFonts w:hint="eastAsia" w:ascii="仿宋" w:hAnsi="仿宋" w:eastAsia="仿宋"/>
          <w:sz w:val="32"/>
          <w:szCs w:val="32"/>
        </w:rPr>
        <w:t xml:space="preserve"> 研究生在学制期限基本修业年限内可多次获得研究生国家奖学金。</w:t>
      </w:r>
    </w:p>
    <w:p>
      <w:pPr>
        <w:numPr>
          <w:ilvl w:val="0"/>
          <w:numId w:val="2"/>
        </w:numPr>
        <w:tabs>
          <w:tab w:val="clear" w:pos="0"/>
        </w:tabs>
        <w:adjustRightInd/>
        <w:snapToGrid/>
        <w:spacing w:line="360" w:lineRule="auto"/>
        <w:ind w:firstLine="640" w:firstLineChars="200"/>
        <w:rPr>
          <w:rFonts w:ascii="仿宋" w:hAnsi="仿宋" w:eastAsia="仿宋" w:cs="仿宋"/>
          <w:spacing w:val="-8"/>
          <w:sz w:val="32"/>
          <w:szCs w:val="32"/>
        </w:rPr>
      </w:pPr>
      <w:r>
        <w:rPr>
          <w:rFonts w:hint="eastAsia" w:ascii="仿宋" w:hAnsi="仿宋" w:eastAsia="仿宋"/>
          <w:sz w:val="32"/>
          <w:szCs w:val="32"/>
        </w:rPr>
        <w:t xml:space="preserve"> 在</w:t>
      </w:r>
      <w:r>
        <w:rPr>
          <w:rFonts w:hint="eastAsia" w:ascii="仿宋" w:hAnsi="仿宋" w:eastAsia="仿宋"/>
          <w:spacing w:val="-8"/>
          <w:sz w:val="32"/>
          <w:szCs w:val="32"/>
        </w:rPr>
        <w:t>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pPr>
        <w:spacing w:before="381" w:beforeLines="100"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第三章  评审组织机构</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第九条  学院成立研究生国家奖学金评审委员会（以下简称评审委员会），负责研究生国家奖学金的评审工作。</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评审委员会由学院主要领导任主任委员，分管学生工作和研究生教学的领导、研究生教学秘书、研究生辅导员、研究生导师和研究生代表（未申报当年度国家奖学金）任委员。</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评审委员会办公室设在学院学工组，负责组织、协调本学院的评审工作，办公室主任由学工组长兼任。</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第八条  评审委员会成员应遵循以下工作要求：</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（一）严格按照评审标准和规定程序认真审阅材料，听取其他评审委员的意见，提出中肯的评审意见。</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（二）发现与评审对象存在直系亲属关系、直接经济利益关系或有其他可能影响评审工作的情形，应当主动向评审委员会申请回避。</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（三）受理评审过程中的争议事项，接收申诉和组织复议。</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（四）不得利用评审委员的特殊身份和影响力，单独或与有关人员共同为评审对象获奖提供便利。</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（五）严格遵守保密规定，不得擅自披露评审结果、其他评审委员的意见和相关的保密信息。</w:t>
      </w:r>
    </w:p>
    <w:p>
      <w:pPr>
        <w:spacing w:before="381" w:beforeLines="100" w:line="360" w:lineRule="auto"/>
        <w:jc w:val="center"/>
        <w:rPr>
          <w:rFonts w:ascii="仿宋" w:hAnsi="仿宋" w:eastAsia="仿宋" w:cs="仿宋"/>
          <w:b/>
          <w:bCs/>
          <w:sz w:val="32"/>
          <w:szCs w:val="32"/>
        </w:rPr>
      </w:pPr>
      <w:r>
        <w:rPr>
          <w:rFonts w:hint="eastAsia" w:ascii="仿宋" w:hAnsi="仿宋" w:eastAsia="仿宋" w:cs="仿宋"/>
          <w:b/>
          <w:bCs/>
          <w:sz w:val="32"/>
          <w:szCs w:val="32"/>
        </w:rPr>
        <w:t>第四章  评审程序及要求</w:t>
      </w:r>
    </w:p>
    <w:p>
      <w:pPr>
        <w:pStyle w:val="3"/>
        <w:tabs>
          <w:tab w:val="left" w:pos="2043"/>
        </w:tabs>
        <w:autoSpaceDE w:val="0"/>
        <w:autoSpaceDN w:val="0"/>
        <w:adjustRightInd/>
        <w:snapToGrid/>
        <w:spacing w:line="360" w:lineRule="auto"/>
        <w:ind w:firstLine="640" w:firstLineChars="200"/>
        <w:rPr>
          <w:rFonts w:ascii="仿宋" w:hAnsi="仿宋" w:eastAsia="仿宋" w:cs="仿宋"/>
          <w:spacing w:val="-8"/>
          <w:szCs w:val="32"/>
        </w:rPr>
      </w:pPr>
      <w:r>
        <w:rPr>
          <w:rFonts w:hint="eastAsia" w:ascii="仿宋" w:hAnsi="仿宋" w:eastAsia="仿宋" w:cs="仿宋"/>
          <w:szCs w:val="32"/>
        </w:rPr>
        <w:t>第九条  研究生国家奖学金每学年评审一次，根据学校下达指标实行评审，坚持公开、公平、公正、择优的原则。一经发现有弄虚作假者，取消当年所获研究生国家奖学金的资格。</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第十条</w:t>
      </w:r>
      <w:r>
        <w:rPr>
          <w:rFonts w:ascii="仿宋" w:hAnsi="仿宋" w:eastAsia="仿宋" w:cs="仿宋"/>
          <w:szCs w:val="32"/>
        </w:rPr>
        <w:t xml:space="preserve">  </w:t>
      </w:r>
      <w:r>
        <w:rPr>
          <w:rFonts w:hint="eastAsia" w:ascii="仿宋" w:hAnsi="仿宋" w:eastAsia="仿宋" w:cs="仿宋"/>
          <w:szCs w:val="32"/>
          <w:lang w:eastAsia="zh-CN"/>
        </w:rPr>
        <w:t>学院根据学校分配名额，按照各学科参评对象基数比例分配名额，并对培养质量较高的学科、学校特色优势学科、基础学科和国家亟需学科予以适当倾斜。</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第十一条  凡符合上述第四条基本申请条件和第五条具体条件的学生，均可向学院提出书面申请</w:t>
      </w:r>
      <w:r>
        <w:rPr>
          <w:rFonts w:hint="eastAsia" w:ascii="仿宋" w:hAnsi="仿宋" w:eastAsia="仿宋" w:cs="仿宋"/>
          <w:szCs w:val="32"/>
          <w:lang w:eastAsia="zh-CN"/>
        </w:rPr>
        <w:t>，并按照《工程技术学院研究生国家奖学金综合得分计算方法》（见附件</w:t>
      </w:r>
      <w:r>
        <w:rPr>
          <w:rFonts w:hint="eastAsia" w:ascii="仿宋" w:hAnsi="仿宋" w:eastAsia="仿宋" w:cs="仿宋"/>
          <w:szCs w:val="32"/>
          <w:lang w:val="en-US" w:eastAsia="zh-CN"/>
        </w:rPr>
        <w:t>2</w:t>
      </w:r>
      <w:r>
        <w:rPr>
          <w:rFonts w:hint="eastAsia" w:ascii="仿宋" w:hAnsi="仿宋" w:eastAsia="仿宋" w:cs="仿宋"/>
          <w:szCs w:val="32"/>
          <w:lang w:eastAsia="zh-CN"/>
        </w:rPr>
        <w:t>）计算出综合得分</w:t>
      </w:r>
      <w:r>
        <w:rPr>
          <w:rFonts w:hint="eastAsia" w:ascii="仿宋" w:hAnsi="仿宋" w:eastAsia="仿宋" w:cs="仿宋"/>
          <w:szCs w:val="32"/>
        </w:rPr>
        <w:t>。</w:t>
      </w:r>
    </w:p>
    <w:p>
      <w:pPr>
        <w:pStyle w:val="3"/>
        <w:tabs>
          <w:tab w:val="left" w:pos="2043"/>
        </w:tabs>
        <w:autoSpaceDE w:val="0"/>
        <w:autoSpaceDN w:val="0"/>
        <w:adjustRightInd/>
        <w:snapToGrid/>
        <w:spacing w:line="360" w:lineRule="auto"/>
        <w:ind w:firstLine="640" w:firstLineChars="200"/>
        <w:rPr>
          <w:rFonts w:ascii="仿宋" w:hAnsi="仿宋" w:eastAsia="仿宋"/>
          <w:spacing w:val="-14"/>
          <w:szCs w:val="32"/>
        </w:rPr>
      </w:pPr>
      <w:r>
        <w:rPr>
          <w:rFonts w:hint="eastAsia" w:ascii="仿宋" w:hAnsi="仿宋" w:eastAsia="仿宋" w:cs="仿宋"/>
          <w:szCs w:val="32"/>
        </w:rPr>
        <w:t>第十</w:t>
      </w:r>
      <w:r>
        <w:rPr>
          <w:rFonts w:hint="eastAsia" w:ascii="仿宋" w:hAnsi="仿宋" w:eastAsia="仿宋"/>
          <w:szCs w:val="32"/>
        </w:rPr>
        <w:t>二</w:t>
      </w:r>
      <w:r>
        <w:rPr>
          <w:rFonts w:hint="eastAsia" w:ascii="仿宋" w:hAnsi="仿宋" w:eastAsia="仿宋" w:cs="仿宋"/>
          <w:szCs w:val="32"/>
        </w:rPr>
        <w:t xml:space="preserve">条  </w:t>
      </w:r>
      <w:r>
        <w:rPr>
          <w:rFonts w:hint="eastAsia" w:ascii="仿宋" w:hAnsi="仿宋" w:eastAsia="仿宋"/>
          <w:szCs w:val="32"/>
        </w:rPr>
        <w:t>学院评审委员会组织评审并按照</w:t>
      </w:r>
      <w:r>
        <w:rPr>
          <w:rFonts w:hint="eastAsia" w:ascii="仿宋" w:hAnsi="仿宋" w:eastAsia="仿宋"/>
          <w:szCs w:val="32"/>
          <w:lang w:eastAsia="zh-CN"/>
        </w:rPr>
        <w:t>学生综合得分</w:t>
      </w:r>
      <w:r>
        <w:rPr>
          <w:rFonts w:hint="eastAsia" w:ascii="仿宋" w:hAnsi="仿宋" w:eastAsia="仿宋"/>
          <w:szCs w:val="32"/>
        </w:rPr>
        <w:t>确定拟推荐学生名单，在全院范围内公示5个工作日，无异议后将推荐学生名单和学院评审工作报告报送至学校国家奖助学金评审工作领导小组办公室。</w:t>
      </w:r>
    </w:p>
    <w:p>
      <w:pPr>
        <w:pStyle w:val="3"/>
        <w:tabs>
          <w:tab w:val="left" w:pos="2043"/>
        </w:tabs>
        <w:autoSpaceDE w:val="0"/>
        <w:autoSpaceDN w:val="0"/>
        <w:adjustRightInd/>
        <w:snapToGrid/>
        <w:spacing w:line="360" w:lineRule="auto"/>
        <w:ind w:firstLine="640" w:firstLineChars="200"/>
        <w:rPr>
          <w:rFonts w:ascii="仿宋" w:hAnsi="仿宋" w:eastAsia="仿宋" w:cs="仿宋"/>
          <w:szCs w:val="32"/>
        </w:rPr>
      </w:pPr>
      <w:r>
        <w:rPr>
          <w:rFonts w:hint="eastAsia" w:ascii="仿宋" w:hAnsi="仿宋" w:eastAsia="仿宋" w:cs="仿宋"/>
          <w:szCs w:val="32"/>
        </w:rPr>
        <w:t>第十三条  对研究生国家奖学金评审结果有异议的学生，可在学院公示阶段向所在学院评审委员会提出申诉，评审委员会应及时研究并予以答复。</w:t>
      </w:r>
    </w:p>
    <w:p>
      <w:pPr>
        <w:spacing w:before="381" w:beforeLines="100" w:line="360" w:lineRule="auto"/>
        <w:jc w:val="center"/>
        <w:rPr>
          <w:rFonts w:ascii="仿宋" w:hAnsi="仿宋" w:eastAsia="仿宋" w:cs="仿宋"/>
          <w:b/>
          <w:bCs/>
          <w:sz w:val="32"/>
          <w:szCs w:val="32"/>
        </w:rPr>
      </w:pPr>
      <w:r>
        <w:rPr>
          <w:rFonts w:hint="eastAsia" w:ascii="仿宋" w:hAnsi="仿宋" w:eastAsia="仿宋" w:cs="仿宋"/>
          <w:b/>
          <w:bCs/>
          <w:sz w:val="32"/>
          <w:szCs w:val="32"/>
        </w:rPr>
        <w:t xml:space="preserve">第五章  附 </w:t>
      </w:r>
      <w:r>
        <w:rPr>
          <w:rFonts w:ascii="仿宋" w:hAnsi="仿宋" w:eastAsia="仿宋" w:cs="仿宋"/>
          <w:b/>
          <w:bCs/>
          <w:sz w:val="32"/>
          <w:szCs w:val="32"/>
        </w:rPr>
        <w:t xml:space="preserve"> </w:t>
      </w:r>
      <w:r>
        <w:rPr>
          <w:rFonts w:hint="eastAsia" w:ascii="仿宋" w:hAnsi="仿宋" w:eastAsia="仿宋" w:cs="仿宋"/>
          <w:b/>
          <w:bCs/>
          <w:sz w:val="32"/>
          <w:szCs w:val="32"/>
        </w:rPr>
        <w:t xml:space="preserve">则 </w:t>
      </w:r>
    </w:p>
    <w:p>
      <w:pPr>
        <w:pStyle w:val="3"/>
        <w:spacing w:line="570" w:lineRule="exact"/>
        <w:ind w:firstLine="616" w:firstLineChars="200"/>
        <w:rPr>
          <w:rFonts w:hint="eastAsia" w:ascii="仿宋_GB2312" w:hAnsi="仿宋" w:cs="仿宋"/>
          <w:szCs w:val="32"/>
        </w:rPr>
      </w:pPr>
      <w:r>
        <w:rPr>
          <w:rFonts w:hint="eastAsia" w:ascii="仿宋_GB2312" w:hAnsi="仿宋" w:cs="仿宋"/>
          <w:spacing w:val="-6"/>
          <w:szCs w:val="32"/>
        </w:rPr>
        <w:t>第</w:t>
      </w:r>
      <w:r>
        <w:rPr>
          <w:rFonts w:hint="eastAsia" w:ascii="仿宋_GB2312" w:hAnsi="仿宋" w:cs="仿宋"/>
          <w:spacing w:val="-6"/>
          <w:szCs w:val="32"/>
          <w:lang w:eastAsia="zh-CN"/>
        </w:rPr>
        <w:t>十四</w:t>
      </w:r>
      <w:r>
        <w:rPr>
          <w:rFonts w:hint="eastAsia" w:ascii="仿宋_GB2312" w:hAnsi="仿宋" w:cs="仿宋"/>
          <w:spacing w:val="-6"/>
          <w:szCs w:val="32"/>
        </w:rPr>
        <w:t xml:space="preserve">条  </w:t>
      </w:r>
      <w:r>
        <w:rPr>
          <w:rFonts w:hint="eastAsia" w:ascii="仿宋_GB2312"/>
          <w:szCs w:val="32"/>
        </w:rPr>
        <w:t>本办法自发文日起实施。</w:t>
      </w:r>
      <w:r>
        <w:rPr>
          <w:rFonts w:hint="eastAsia" w:ascii="仿宋_GB2312" w:hAnsi="仿宋" w:cs="仿宋"/>
          <w:spacing w:val="-6"/>
          <w:szCs w:val="32"/>
        </w:rPr>
        <w:t>《</w:t>
      </w:r>
      <w:r>
        <w:rPr>
          <w:rFonts w:hint="eastAsia" w:ascii="仿宋_GB2312" w:hAnsi="仿宋" w:cs="仿宋"/>
          <w:spacing w:val="-3"/>
          <w:szCs w:val="32"/>
          <w:lang w:eastAsia="zh-CN"/>
        </w:rPr>
        <w:t>工程技术学院研究生国家奖学金管理暂行办法</w:t>
      </w:r>
      <w:r>
        <w:rPr>
          <w:rFonts w:hint="eastAsia" w:ascii="仿宋_GB2312" w:hAnsi="仿宋" w:cs="仿宋"/>
          <w:spacing w:val="-27"/>
          <w:szCs w:val="32"/>
        </w:rPr>
        <w:t>》</w:t>
      </w:r>
      <w:r>
        <w:rPr>
          <w:rFonts w:hint="eastAsia" w:ascii="仿宋_GB2312" w:hAnsi="仿宋" w:cs="仿宋"/>
          <w:szCs w:val="32"/>
        </w:rPr>
        <w:t>（中地大</w:t>
      </w:r>
      <w:r>
        <w:rPr>
          <w:rFonts w:hint="eastAsia" w:ascii="仿宋_GB2312" w:hAnsi="仿宋" w:cs="仿宋"/>
          <w:szCs w:val="32"/>
          <w:lang w:eastAsia="zh-CN"/>
        </w:rPr>
        <w:t>京工程院发</w:t>
      </w:r>
      <w:r>
        <w:rPr>
          <w:rFonts w:hint="eastAsia" w:ascii="仿宋_GB2312" w:hAnsi="仿宋" w:cs="仿宋"/>
          <w:szCs w:val="32"/>
        </w:rPr>
        <w:t>〔201</w:t>
      </w:r>
      <w:r>
        <w:rPr>
          <w:rFonts w:hint="eastAsia" w:ascii="仿宋_GB2312" w:hAnsi="仿宋" w:cs="仿宋"/>
          <w:szCs w:val="32"/>
          <w:lang w:val="en-US" w:eastAsia="zh-CN"/>
        </w:rPr>
        <w:t>9</w:t>
      </w:r>
      <w:r>
        <w:rPr>
          <w:rFonts w:hint="eastAsia" w:ascii="仿宋_GB2312" w:hAnsi="仿宋" w:cs="仿宋"/>
          <w:szCs w:val="32"/>
        </w:rPr>
        <w:t>〕</w:t>
      </w:r>
      <w:r>
        <w:rPr>
          <w:rFonts w:hint="eastAsia" w:ascii="仿宋_GB2312" w:hAnsi="仿宋" w:cs="仿宋"/>
          <w:szCs w:val="32"/>
          <w:lang w:val="en-US" w:eastAsia="zh-CN"/>
        </w:rPr>
        <w:t>7</w:t>
      </w:r>
      <w:r>
        <w:rPr>
          <w:rFonts w:hint="eastAsia" w:ascii="仿宋_GB2312" w:hAnsi="仿宋" w:cs="仿宋"/>
          <w:spacing w:val="-42"/>
          <w:szCs w:val="32"/>
        </w:rPr>
        <w:t xml:space="preserve"> 号</w:t>
      </w:r>
      <w:r>
        <w:rPr>
          <w:rFonts w:hint="eastAsia" w:ascii="仿宋_GB2312" w:hAnsi="仿宋" w:cs="仿宋"/>
          <w:szCs w:val="32"/>
        </w:rPr>
        <w:t>）同时废止。</w:t>
      </w:r>
    </w:p>
    <w:p>
      <w:pPr>
        <w:pStyle w:val="3"/>
        <w:spacing w:line="570" w:lineRule="exact"/>
        <w:ind w:firstLine="640" w:firstLineChars="200"/>
        <w:rPr>
          <w:rFonts w:hint="eastAsia" w:ascii="仿宋_GB2312" w:hAnsi="仿宋" w:cs="仿宋"/>
          <w:szCs w:val="32"/>
        </w:rPr>
      </w:pPr>
      <w:r>
        <w:rPr>
          <w:rFonts w:hint="eastAsia" w:ascii="仿宋_GB2312" w:hAnsi="仿宋" w:cs="仿宋"/>
          <w:szCs w:val="32"/>
        </w:rPr>
        <w:t>第</w:t>
      </w:r>
      <w:r>
        <w:rPr>
          <w:rFonts w:hint="eastAsia" w:ascii="仿宋_GB2312" w:hAnsi="仿宋" w:cs="仿宋"/>
          <w:szCs w:val="32"/>
          <w:lang w:eastAsia="zh-CN"/>
        </w:rPr>
        <w:t>十五</w:t>
      </w:r>
      <w:r>
        <w:rPr>
          <w:rFonts w:hint="eastAsia" w:ascii="仿宋_GB2312" w:hAnsi="仿宋" w:cs="仿宋"/>
          <w:szCs w:val="32"/>
        </w:rPr>
        <w:t>条  本办法由</w:t>
      </w:r>
      <w:r>
        <w:rPr>
          <w:rFonts w:hint="eastAsia" w:ascii="仿宋_GB2312" w:hAnsi="仿宋" w:cs="仿宋"/>
          <w:szCs w:val="32"/>
          <w:lang w:eastAsia="zh-CN"/>
        </w:rPr>
        <w:t>工程技术学院党政办公室</w:t>
      </w:r>
      <w:r>
        <w:rPr>
          <w:rFonts w:hint="eastAsia" w:ascii="仿宋_GB2312" w:hAnsi="仿宋" w:cs="仿宋"/>
          <w:szCs w:val="32"/>
        </w:rPr>
        <w:t>负责解释。</w:t>
      </w:r>
    </w:p>
    <w:p>
      <w:pPr>
        <w:pStyle w:val="3"/>
        <w:spacing w:line="360" w:lineRule="auto"/>
        <w:ind w:firstLine="640" w:firstLineChars="200"/>
        <w:rPr>
          <w:rFonts w:hint="eastAsia" w:ascii="仿宋" w:hAnsi="仿宋" w:eastAsia="仿宋" w:cs="仿宋"/>
          <w:szCs w:val="32"/>
        </w:rPr>
      </w:pPr>
    </w:p>
    <w:p>
      <w:pPr>
        <w:rPr>
          <w:rFonts w:hint="eastAsia" w:ascii="华文仿宋" w:hAnsi="华文仿宋" w:eastAsia="华文仿宋" w:cs="宋体"/>
          <w:bCs/>
          <w:color w:val="000000"/>
          <w:kern w:val="0"/>
          <w:sz w:val="32"/>
          <w:szCs w:val="32"/>
          <w:lang w:eastAsia="zh-CN"/>
        </w:rPr>
      </w:pPr>
      <w:r>
        <w:rPr>
          <w:rFonts w:hint="eastAsia" w:ascii="华文仿宋" w:hAnsi="华文仿宋" w:eastAsia="华文仿宋" w:cs="宋体"/>
          <w:bCs/>
          <w:color w:val="000000"/>
          <w:kern w:val="0"/>
          <w:sz w:val="32"/>
          <w:szCs w:val="32"/>
          <w:lang w:eastAsia="zh-CN"/>
        </w:rPr>
        <w:br w:type="page"/>
      </w:r>
    </w:p>
    <w:p>
      <w:pPr>
        <w:widowControl/>
        <w:spacing w:before="156" w:beforeLines="50" w:after="156" w:afterLines="50"/>
        <w:jc w:val="both"/>
        <w:rPr>
          <w:rFonts w:hint="eastAsia" w:ascii="仿宋" w:hAnsi="仿宋" w:eastAsia="仿宋" w:cs="仿宋"/>
          <w:b w:val="0"/>
          <w:bCs/>
          <w:color w:val="000000"/>
          <w:kern w:val="0"/>
          <w:sz w:val="32"/>
          <w:szCs w:val="32"/>
          <w:lang w:eastAsia="zh-CN"/>
        </w:rPr>
      </w:pPr>
      <w:r>
        <w:rPr>
          <w:rFonts w:hint="eastAsia" w:ascii="仿宋" w:hAnsi="仿宋" w:eastAsia="仿宋" w:cs="仿宋"/>
          <w:b w:val="0"/>
          <w:bCs/>
          <w:color w:val="000000"/>
          <w:kern w:val="0"/>
          <w:sz w:val="32"/>
          <w:szCs w:val="32"/>
          <w:lang w:eastAsia="zh-CN"/>
        </w:rPr>
        <w:t>附件</w:t>
      </w:r>
      <w:r>
        <w:rPr>
          <w:rFonts w:hint="eastAsia" w:ascii="仿宋" w:hAnsi="仿宋" w:eastAsia="仿宋" w:cs="仿宋"/>
          <w:b w:val="0"/>
          <w:bCs/>
          <w:color w:val="000000"/>
          <w:kern w:val="0"/>
          <w:sz w:val="32"/>
          <w:szCs w:val="32"/>
          <w:lang w:val="en-US" w:eastAsia="zh-CN"/>
        </w:rPr>
        <w:t>2</w:t>
      </w:r>
      <w:r>
        <w:rPr>
          <w:rFonts w:hint="eastAsia" w:ascii="仿宋" w:hAnsi="仿宋" w:eastAsia="仿宋" w:cs="仿宋"/>
          <w:b w:val="0"/>
          <w:bCs/>
          <w:color w:val="000000"/>
          <w:kern w:val="0"/>
          <w:sz w:val="32"/>
          <w:szCs w:val="32"/>
          <w:lang w:eastAsia="zh-CN"/>
        </w:rPr>
        <w:t>：</w:t>
      </w:r>
    </w:p>
    <w:p>
      <w:pPr>
        <w:adjustRightInd/>
        <w:snapToGrid/>
        <w:spacing w:line="240" w:lineRule="auto"/>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工程技术学院研究生国家奖学金</w:t>
      </w:r>
    </w:p>
    <w:p>
      <w:pPr>
        <w:adjustRightInd/>
        <w:snapToGrid/>
        <w:spacing w:line="240" w:lineRule="auto"/>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综合得分计算方法</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研究生国家奖学金评比综合考虑学位课成绩、科研成果和日常表现三个方面，具体得分计算办法如下：</w:t>
      </w:r>
    </w:p>
    <w:p>
      <w:pPr>
        <w:adjustRightInd/>
        <w:snapToGrid/>
        <w:spacing w:line="240" w:lineRule="auto"/>
        <w:ind w:firstLine="643" w:firstLineChars="200"/>
        <w:rPr>
          <w:rFonts w:ascii="仿宋" w:hAnsi="仿宋" w:eastAsia="仿宋"/>
          <w:b/>
          <w:bCs/>
          <w:sz w:val="32"/>
          <w:szCs w:val="32"/>
        </w:rPr>
      </w:pPr>
      <w:r>
        <w:rPr>
          <w:rFonts w:hint="eastAsia" w:ascii="仿宋" w:hAnsi="仿宋" w:eastAsia="仿宋"/>
          <w:b/>
          <w:bCs/>
          <w:sz w:val="32"/>
          <w:szCs w:val="32"/>
        </w:rPr>
        <w:t>一、学业分</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学业分=学位课平均成绩×30%</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注：学位课成绩为参评年度9月30日前所获得学位课成绩，未出课程成绩不参加计算。</w:t>
      </w:r>
    </w:p>
    <w:p>
      <w:pPr>
        <w:adjustRightInd/>
        <w:snapToGrid/>
        <w:spacing w:line="240" w:lineRule="auto"/>
        <w:rPr>
          <w:rFonts w:ascii="仿宋" w:hAnsi="仿宋" w:eastAsia="仿宋"/>
          <w:b/>
          <w:bCs/>
          <w:sz w:val="32"/>
          <w:szCs w:val="32"/>
        </w:rPr>
      </w:pPr>
      <w:r>
        <w:rPr>
          <w:rFonts w:hint="eastAsia" w:ascii="仿宋" w:hAnsi="仿宋" w:eastAsia="仿宋"/>
          <w:sz w:val="32"/>
          <w:szCs w:val="32"/>
        </w:rPr>
        <w:t xml:space="preserve">    </w:t>
      </w:r>
      <w:r>
        <w:rPr>
          <w:rFonts w:hint="eastAsia" w:ascii="仿宋" w:hAnsi="仿宋" w:eastAsia="仿宋"/>
          <w:b/>
          <w:bCs/>
          <w:sz w:val="32"/>
          <w:szCs w:val="32"/>
        </w:rPr>
        <w:t>二、科研成果分</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（1）根据每个学科分类中期刊的影响因子高低，将SCI/SSCI论文分为A、B、C、</w:t>
      </w:r>
      <w:r>
        <w:rPr>
          <w:rFonts w:ascii="仿宋" w:hAnsi="仿宋" w:eastAsia="仿宋"/>
          <w:sz w:val="32"/>
          <w:szCs w:val="32"/>
        </w:rPr>
        <w:t>D</w:t>
      </w:r>
      <w:r>
        <w:rPr>
          <w:rFonts w:hint="eastAsia" w:ascii="仿宋" w:hAnsi="仿宋" w:eastAsia="仿宋"/>
          <w:sz w:val="32"/>
          <w:szCs w:val="32"/>
        </w:rPr>
        <w:t>三个区，具体如下：</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A区：JCR（期刊引用</w:t>
      </w:r>
      <w:r>
        <w:rPr>
          <w:rFonts w:ascii="仿宋" w:hAnsi="仿宋" w:eastAsia="仿宋"/>
          <w:sz w:val="32"/>
          <w:szCs w:val="32"/>
        </w:rPr>
        <w:t>报告</w:t>
      </w:r>
      <w:r>
        <w:rPr>
          <w:rFonts w:hint="eastAsia" w:ascii="仿宋" w:hAnsi="仿宋" w:eastAsia="仿宋"/>
          <w:sz w:val="32"/>
          <w:szCs w:val="32"/>
        </w:rPr>
        <w:t>）各学科分类中影响因子前10%（含10%）的期刊论文；</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B区：JCR各学科分类中影响因子在10%-25%的期刊论文；</w:t>
      </w:r>
    </w:p>
    <w:p>
      <w:pPr>
        <w:adjustRightInd/>
        <w:snapToGrid/>
        <w:spacing w:line="240" w:lineRule="auto"/>
        <w:ind w:left="640" w:hanging="640" w:hangingChars="200"/>
        <w:rPr>
          <w:rFonts w:ascii="仿宋" w:hAnsi="仿宋" w:eastAsia="仿宋"/>
          <w:sz w:val="32"/>
          <w:szCs w:val="32"/>
        </w:rPr>
      </w:pPr>
      <w:r>
        <w:rPr>
          <w:rFonts w:hint="eastAsia" w:ascii="仿宋" w:hAnsi="仿宋" w:eastAsia="仿宋"/>
          <w:sz w:val="32"/>
          <w:szCs w:val="32"/>
        </w:rPr>
        <w:t xml:space="preserve">    C区：JCR各学科分类中影响因子在25%</w:t>
      </w:r>
      <w:r>
        <w:rPr>
          <w:rFonts w:ascii="仿宋" w:hAnsi="仿宋" w:eastAsia="仿宋"/>
          <w:sz w:val="32"/>
          <w:szCs w:val="32"/>
        </w:rPr>
        <w:t>-50%</w:t>
      </w:r>
      <w:r>
        <w:rPr>
          <w:rFonts w:hint="eastAsia" w:ascii="仿宋" w:hAnsi="仿宋" w:eastAsia="仿宋"/>
          <w:sz w:val="32"/>
          <w:szCs w:val="32"/>
        </w:rPr>
        <w:t>的期刊论文；D区</w:t>
      </w:r>
      <w:r>
        <w:rPr>
          <w:rFonts w:ascii="仿宋" w:hAnsi="仿宋" w:eastAsia="仿宋"/>
          <w:sz w:val="32"/>
          <w:szCs w:val="32"/>
        </w:rPr>
        <w:t>：</w:t>
      </w:r>
      <w:r>
        <w:rPr>
          <w:rFonts w:hint="eastAsia" w:ascii="仿宋" w:hAnsi="仿宋" w:eastAsia="仿宋"/>
          <w:sz w:val="32"/>
          <w:szCs w:val="32"/>
        </w:rPr>
        <w:t>JCR各学科分类中影响因子在</w:t>
      </w:r>
      <w:r>
        <w:rPr>
          <w:rFonts w:ascii="仿宋" w:hAnsi="仿宋" w:eastAsia="仿宋"/>
          <w:sz w:val="32"/>
          <w:szCs w:val="32"/>
        </w:rPr>
        <w:t>50%</w:t>
      </w:r>
      <w:r>
        <w:rPr>
          <w:rFonts w:hint="eastAsia" w:ascii="仿宋" w:hAnsi="仿宋" w:eastAsia="仿宋"/>
          <w:sz w:val="32"/>
          <w:szCs w:val="32"/>
        </w:rPr>
        <w:t>以后的期刊论文及其它SCI/SSCI检索论文。</w:t>
      </w:r>
    </w:p>
    <w:p>
      <w:pPr>
        <w:adjustRightInd/>
        <w:snapToGrid/>
        <w:spacing w:line="240" w:lineRule="auto"/>
        <w:rPr>
          <w:rFonts w:ascii="仿宋" w:hAnsi="仿宋" w:eastAsia="仿宋"/>
          <w:b/>
          <w:bCs/>
          <w:sz w:val="32"/>
          <w:szCs w:val="32"/>
        </w:rPr>
      </w:pPr>
      <w:r>
        <w:rPr>
          <w:rFonts w:hint="eastAsia" w:ascii="仿宋" w:hAnsi="仿宋" w:eastAsia="仿宋"/>
          <w:sz w:val="32"/>
          <w:szCs w:val="32"/>
        </w:rPr>
        <w:t xml:space="preserve">    </w:t>
      </w:r>
      <w:r>
        <w:rPr>
          <w:rFonts w:hint="eastAsia" w:ascii="仿宋" w:hAnsi="仿宋" w:eastAsia="仿宋"/>
          <w:b/>
          <w:bCs/>
          <w:sz w:val="32"/>
          <w:szCs w:val="32"/>
        </w:rPr>
        <w:t>每篇A区论文计25分，B区论文计20分，C区论文计15分，D区论文计10分。</w:t>
      </w:r>
    </w:p>
    <w:p>
      <w:pPr>
        <w:adjustRightInd/>
        <w:snapToGrid/>
        <w:spacing w:line="240" w:lineRule="auto"/>
        <w:ind w:firstLine="645"/>
        <w:rPr>
          <w:rFonts w:ascii="仿宋" w:hAnsi="仿宋" w:eastAsia="仿宋"/>
          <w:sz w:val="32"/>
          <w:szCs w:val="32"/>
        </w:rPr>
      </w:pPr>
      <w:r>
        <w:rPr>
          <w:rFonts w:hint="eastAsia" w:ascii="仿宋" w:hAnsi="仿宋" w:eastAsia="仿宋"/>
          <w:sz w:val="32"/>
          <w:szCs w:val="32"/>
        </w:rPr>
        <w:t>（2）国家级</w:t>
      </w:r>
      <w:r>
        <w:rPr>
          <w:rFonts w:ascii="仿宋" w:hAnsi="仿宋" w:eastAsia="仿宋"/>
          <w:sz w:val="32"/>
          <w:szCs w:val="32"/>
        </w:rPr>
        <w:t>科技成果奖励正</w:t>
      </w:r>
      <w:r>
        <w:rPr>
          <w:rFonts w:hint="eastAsia" w:ascii="仿宋" w:hAnsi="仿宋" w:eastAsia="仿宋"/>
          <w:sz w:val="32"/>
          <w:szCs w:val="32"/>
        </w:rPr>
        <w:t>书</w:t>
      </w:r>
      <w:r>
        <w:rPr>
          <w:rFonts w:ascii="仿宋" w:hAnsi="仿宋" w:eastAsia="仿宋"/>
          <w:sz w:val="32"/>
          <w:szCs w:val="32"/>
        </w:rPr>
        <w:t>持有者计</w:t>
      </w:r>
      <w:r>
        <w:rPr>
          <w:rFonts w:hint="eastAsia" w:ascii="仿宋" w:hAnsi="仿宋" w:eastAsia="仿宋"/>
          <w:sz w:val="32"/>
          <w:szCs w:val="32"/>
        </w:rPr>
        <w:t>25分</w:t>
      </w:r>
      <w:r>
        <w:rPr>
          <w:rFonts w:ascii="仿宋" w:hAnsi="仿宋" w:eastAsia="仿宋"/>
          <w:sz w:val="32"/>
          <w:szCs w:val="32"/>
        </w:rPr>
        <w:t>；省部级科技成果奖励正书持有者计</w:t>
      </w:r>
      <w:r>
        <w:rPr>
          <w:rFonts w:hint="eastAsia" w:ascii="仿宋" w:hAnsi="仿宋" w:eastAsia="仿宋"/>
          <w:sz w:val="32"/>
          <w:szCs w:val="32"/>
        </w:rPr>
        <w:t>20分</w:t>
      </w:r>
      <w:r>
        <w:rPr>
          <w:rFonts w:ascii="仿宋" w:hAnsi="仿宋" w:eastAsia="仿宋"/>
          <w:sz w:val="32"/>
          <w:szCs w:val="32"/>
        </w:rPr>
        <w:t>。</w:t>
      </w:r>
    </w:p>
    <w:p>
      <w:pPr>
        <w:adjustRightInd/>
        <w:snapToGrid/>
        <w:spacing w:line="240" w:lineRule="auto"/>
        <w:ind w:firstLine="645"/>
        <w:rPr>
          <w:rFonts w:ascii="仿宋" w:hAnsi="仿宋" w:eastAsia="仿宋"/>
          <w:sz w:val="32"/>
          <w:szCs w:val="32"/>
        </w:rPr>
      </w:pPr>
      <w:r>
        <w:rPr>
          <w:rFonts w:hint="eastAsia" w:ascii="仿宋" w:hAnsi="仿宋" w:eastAsia="仿宋"/>
          <w:sz w:val="32"/>
          <w:szCs w:val="32"/>
        </w:rPr>
        <w:t>（3）每项</w:t>
      </w:r>
      <w:r>
        <w:rPr>
          <w:rFonts w:ascii="仿宋" w:hAnsi="仿宋" w:eastAsia="仿宋"/>
          <w:sz w:val="32"/>
          <w:szCs w:val="32"/>
        </w:rPr>
        <w:t>国际机构授权发明专利计</w:t>
      </w:r>
      <w:r>
        <w:rPr>
          <w:rFonts w:hint="eastAsia" w:ascii="仿宋" w:hAnsi="仿宋" w:eastAsia="仿宋"/>
          <w:sz w:val="32"/>
          <w:szCs w:val="32"/>
        </w:rPr>
        <w:t>20分</w:t>
      </w:r>
      <w:r>
        <w:rPr>
          <w:rFonts w:ascii="仿宋" w:hAnsi="仿宋" w:eastAsia="仿宋"/>
          <w:sz w:val="32"/>
          <w:szCs w:val="32"/>
        </w:rPr>
        <w:t>；</w:t>
      </w:r>
      <w:r>
        <w:rPr>
          <w:rFonts w:hint="eastAsia" w:ascii="仿宋" w:hAnsi="仿宋" w:eastAsia="仿宋"/>
          <w:sz w:val="32"/>
          <w:szCs w:val="32"/>
        </w:rPr>
        <w:t>每项国家发明专利计10分。</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（4）每篇EI检索论文计7分。</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（5）每篇核心期刊论文或每项实用新型专利计3分。</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（6）每篇其他期刊论文计2分。</w:t>
      </w:r>
    </w:p>
    <w:p>
      <w:pPr>
        <w:adjustRightInd/>
        <w:snapToGrid/>
        <w:spacing w:line="240" w:lineRule="auto"/>
        <w:ind w:firstLine="645"/>
        <w:rPr>
          <w:rFonts w:ascii="仿宋" w:hAnsi="仿宋" w:eastAsia="仿宋"/>
          <w:sz w:val="32"/>
          <w:szCs w:val="32"/>
        </w:rPr>
      </w:pPr>
      <w:r>
        <w:rPr>
          <w:rFonts w:hint="eastAsia" w:ascii="仿宋" w:hAnsi="仿宋" w:eastAsia="仿宋"/>
          <w:sz w:val="32"/>
          <w:szCs w:val="32"/>
        </w:rPr>
        <w:t>注：科技成果分数可累加。申请人</w:t>
      </w:r>
      <w:r>
        <w:rPr>
          <w:rFonts w:ascii="仿宋" w:hAnsi="仿宋" w:eastAsia="仿宋"/>
          <w:sz w:val="32"/>
          <w:szCs w:val="32"/>
        </w:rPr>
        <w:t>必须为第一作者</w:t>
      </w:r>
      <w:r>
        <w:rPr>
          <w:rFonts w:hint="eastAsia" w:ascii="仿宋" w:hAnsi="仿宋" w:eastAsia="仿宋"/>
          <w:sz w:val="32"/>
          <w:szCs w:val="32"/>
        </w:rPr>
        <w:t>/第一发明人</w:t>
      </w:r>
      <w:r>
        <w:rPr>
          <w:rFonts w:ascii="仿宋" w:hAnsi="仿宋" w:eastAsia="仿宋"/>
          <w:sz w:val="32"/>
          <w:szCs w:val="32"/>
        </w:rPr>
        <w:t>，且第一完成单位必须为中国地质大学（</w:t>
      </w:r>
      <w:r>
        <w:rPr>
          <w:rFonts w:hint="eastAsia" w:ascii="仿宋" w:hAnsi="仿宋" w:eastAsia="仿宋"/>
          <w:sz w:val="32"/>
          <w:szCs w:val="32"/>
        </w:rPr>
        <w:t>北京</w:t>
      </w:r>
      <w:r>
        <w:rPr>
          <w:rFonts w:ascii="仿宋" w:hAnsi="仿宋" w:eastAsia="仿宋"/>
          <w:sz w:val="32"/>
          <w:szCs w:val="32"/>
        </w:rPr>
        <w:t>）</w:t>
      </w:r>
      <w:r>
        <w:rPr>
          <w:rFonts w:hint="eastAsia" w:ascii="仿宋" w:hAnsi="仿宋" w:eastAsia="仿宋"/>
          <w:sz w:val="32"/>
          <w:szCs w:val="32"/>
        </w:rPr>
        <w:t>。文章发表时间为攻读当前学位近一年时间（即自上一年度9月1日至当年8月31日</w:t>
      </w:r>
      <w:r>
        <w:rPr>
          <w:rFonts w:ascii="仿宋" w:hAnsi="仿宋" w:eastAsia="仿宋"/>
          <w:sz w:val="32"/>
          <w:szCs w:val="32"/>
        </w:rPr>
        <w:t>）。</w:t>
      </w:r>
      <w:r>
        <w:rPr>
          <w:rFonts w:hint="eastAsia" w:ascii="仿宋" w:hAnsi="仿宋" w:eastAsia="仿宋"/>
          <w:sz w:val="32"/>
          <w:szCs w:val="32"/>
        </w:rPr>
        <w:t>SCI论文以Online时间</w:t>
      </w:r>
      <w:r>
        <w:rPr>
          <w:rFonts w:ascii="仿宋" w:hAnsi="仿宋" w:eastAsia="仿宋"/>
          <w:sz w:val="32"/>
          <w:szCs w:val="32"/>
        </w:rPr>
        <w:t>为准，其他期刊论文以</w:t>
      </w:r>
      <w:r>
        <w:rPr>
          <w:rFonts w:hint="eastAsia" w:ascii="仿宋" w:hAnsi="仿宋" w:eastAsia="仿宋"/>
          <w:sz w:val="32"/>
          <w:szCs w:val="32"/>
        </w:rPr>
        <w:t>刊出时间</w:t>
      </w:r>
      <w:r>
        <w:rPr>
          <w:rFonts w:ascii="仿宋" w:hAnsi="仿宋" w:eastAsia="仿宋"/>
          <w:sz w:val="32"/>
          <w:szCs w:val="32"/>
        </w:rPr>
        <w:t>为准。</w:t>
      </w:r>
      <w:r>
        <w:rPr>
          <w:rFonts w:hint="eastAsia" w:ascii="仿宋" w:hAnsi="仿宋" w:eastAsia="仿宋"/>
          <w:sz w:val="32"/>
          <w:szCs w:val="32"/>
        </w:rPr>
        <w:t>国家</w:t>
      </w:r>
      <w:r>
        <w:rPr>
          <w:rFonts w:ascii="仿宋" w:hAnsi="仿宋" w:eastAsia="仿宋"/>
          <w:sz w:val="32"/>
          <w:szCs w:val="32"/>
        </w:rPr>
        <w:t>发明专利和实用</w:t>
      </w:r>
      <w:r>
        <w:rPr>
          <w:rFonts w:hint="eastAsia" w:ascii="仿宋" w:hAnsi="仿宋" w:eastAsia="仿宋"/>
          <w:sz w:val="32"/>
          <w:szCs w:val="32"/>
        </w:rPr>
        <w:t>新型</w:t>
      </w:r>
      <w:r>
        <w:rPr>
          <w:rFonts w:ascii="仿宋" w:hAnsi="仿宋" w:eastAsia="仿宋"/>
          <w:sz w:val="32"/>
          <w:szCs w:val="32"/>
        </w:rPr>
        <w:t>专利以证书为准。</w:t>
      </w:r>
    </w:p>
    <w:p>
      <w:pPr>
        <w:adjustRightInd/>
        <w:snapToGrid/>
        <w:spacing w:line="240" w:lineRule="auto"/>
        <w:ind w:firstLine="645"/>
        <w:rPr>
          <w:rFonts w:ascii="仿宋" w:hAnsi="仿宋" w:eastAsia="仿宋"/>
          <w:sz w:val="32"/>
          <w:szCs w:val="32"/>
        </w:rPr>
      </w:pPr>
      <w:r>
        <w:rPr>
          <w:rFonts w:hint="eastAsia" w:ascii="仿宋" w:hAnsi="仿宋" w:eastAsia="仿宋"/>
          <w:sz w:val="32"/>
          <w:szCs w:val="32"/>
        </w:rPr>
        <w:t>“核心期刊”以</w:t>
      </w:r>
      <w:r>
        <w:rPr>
          <w:rFonts w:ascii="仿宋" w:hAnsi="仿宋" w:eastAsia="仿宋"/>
          <w:sz w:val="32"/>
          <w:szCs w:val="32"/>
        </w:rPr>
        <w:t>北京大学中文核心期刊要目或中国科学</w:t>
      </w:r>
      <w:r>
        <w:rPr>
          <w:rFonts w:hint="eastAsia" w:ascii="仿宋" w:hAnsi="仿宋" w:eastAsia="仿宋"/>
          <w:sz w:val="32"/>
          <w:szCs w:val="32"/>
        </w:rPr>
        <w:t>引文</w:t>
      </w:r>
      <w:r>
        <w:rPr>
          <w:rFonts w:ascii="仿宋" w:hAnsi="仿宋" w:eastAsia="仿宋"/>
          <w:sz w:val="32"/>
          <w:szCs w:val="32"/>
        </w:rPr>
        <w:t>数据库（</w:t>
      </w:r>
      <w:r>
        <w:rPr>
          <w:rFonts w:hint="eastAsia" w:ascii="仿宋" w:hAnsi="仿宋" w:eastAsia="仿宋"/>
          <w:sz w:val="32"/>
          <w:szCs w:val="32"/>
        </w:rPr>
        <w:t>CSCD</w:t>
      </w:r>
      <w:r>
        <w:rPr>
          <w:rFonts w:ascii="仿宋" w:hAnsi="仿宋" w:eastAsia="仿宋"/>
          <w:sz w:val="32"/>
          <w:szCs w:val="32"/>
        </w:rPr>
        <w:t>）</w:t>
      </w:r>
      <w:r>
        <w:rPr>
          <w:rFonts w:hint="eastAsia" w:ascii="仿宋" w:hAnsi="仿宋" w:eastAsia="仿宋"/>
          <w:sz w:val="32"/>
          <w:szCs w:val="32"/>
        </w:rPr>
        <w:t>为准</w:t>
      </w:r>
      <w:r>
        <w:rPr>
          <w:rFonts w:ascii="仿宋" w:hAnsi="仿宋" w:eastAsia="仿宋"/>
          <w:sz w:val="32"/>
          <w:szCs w:val="32"/>
        </w:rPr>
        <w:t>。发表在</w:t>
      </w:r>
      <w:r>
        <w:rPr>
          <w:rFonts w:hint="eastAsia" w:ascii="仿宋" w:hAnsi="仿宋" w:eastAsia="仿宋"/>
          <w:sz w:val="32"/>
          <w:szCs w:val="32"/>
        </w:rPr>
        <w:t>中文核心</w:t>
      </w:r>
      <w:r>
        <w:rPr>
          <w:rFonts w:ascii="仿宋" w:hAnsi="仿宋" w:eastAsia="仿宋"/>
          <w:sz w:val="32"/>
          <w:szCs w:val="32"/>
        </w:rPr>
        <w:t>期刊增刊和</w:t>
      </w:r>
      <w:r>
        <w:rPr>
          <w:rFonts w:hint="eastAsia" w:ascii="仿宋" w:hAnsi="仿宋" w:eastAsia="仿宋"/>
          <w:sz w:val="32"/>
          <w:szCs w:val="32"/>
        </w:rPr>
        <w:t>EI期</w:t>
      </w:r>
      <w:r>
        <w:rPr>
          <w:rFonts w:ascii="仿宋" w:hAnsi="仿宋" w:eastAsia="仿宋"/>
          <w:sz w:val="32"/>
          <w:szCs w:val="32"/>
        </w:rPr>
        <w:t>刊</w:t>
      </w:r>
      <w:r>
        <w:rPr>
          <w:rFonts w:hint="eastAsia" w:ascii="仿宋" w:hAnsi="仿宋" w:eastAsia="仿宋"/>
          <w:sz w:val="32"/>
          <w:szCs w:val="32"/>
        </w:rPr>
        <w:t>增刊</w:t>
      </w:r>
      <w:r>
        <w:rPr>
          <w:rFonts w:ascii="仿宋" w:hAnsi="仿宋" w:eastAsia="仿宋"/>
          <w:sz w:val="32"/>
          <w:szCs w:val="32"/>
        </w:rPr>
        <w:t>的论文以</w:t>
      </w:r>
      <w:r>
        <w:rPr>
          <w:rFonts w:hint="eastAsia" w:ascii="仿宋" w:hAnsi="仿宋" w:eastAsia="仿宋"/>
          <w:sz w:val="32"/>
          <w:szCs w:val="32"/>
        </w:rPr>
        <w:t>CSCD或EI检索</w:t>
      </w:r>
      <w:r>
        <w:rPr>
          <w:rFonts w:ascii="仿宋" w:hAnsi="仿宋" w:eastAsia="仿宋"/>
          <w:sz w:val="32"/>
          <w:szCs w:val="32"/>
        </w:rPr>
        <w:t>证明为准。其他</w:t>
      </w:r>
      <w:r>
        <w:rPr>
          <w:rFonts w:hint="eastAsia" w:ascii="仿宋" w:hAnsi="仿宋" w:eastAsia="仿宋"/>
          <w:sz w:val="32"/>
          <w:szCs w:val="32"/>
        </w:rPr>
        <w:t>期刊论文</w:t>
      </w:r>
      <w:r>
        <w:rPr>
          <w:rFonts w:ascii="仿宋" w:hAnsi="仿宋" w:eastAsia="仿宋"/>
          <w:sz w:val="32"/>
          <w:szCs w:val="32"/>
        </w:rPr>
        <w:t>不包括国内国际会议论文集、摘要文集中的论文摘要、</w:t>
      </w:r>
      <w:r>
        <w:rPr>
          <w:rFonts w:hint="eastAsia" w:ascii="仿宋" w:hAnsi="仿宋" w:eastAsia="仿宋"/>
          <w:sz w:val="32"/>
          <w:szCs w:val="32"/>
        </w:rPr>
        <w:t>学术期刊</w:t>
      </w:r>
      <w:r>
        <w:rPr>
          <w:rFonts w:ascii="仿宋" w:hAnsi="仿宋" w:eastAsia="仿宋"/>
          <w:sz w:val="32"/>
          <w:szCs w:val="32"/>
        </w:rPr>
        <w:t>中的插页短文</w:t>
      </w:r>
      <w:r>
        <w:rPr>
          <w:rFonts w:hint="eastAsia" w:ascii="仿宋" w:hAnsi="仿宋" w:eastAsia="仿宋"/>
          <w:sz w:val="32"/>
          <w:szCs w:val="32"/>
        </w:rPr>
        <w:t>、</w:t>
      </w:r>
      <w:r>
        <w:rPr>
          <w:rFonts w:ascii="仿宋" w:hAnsi="仿宋" w:eastAsia="仿宋"/>
          <w:sz w:val="32"/>
          <w:szCs w:val="32"/>
        </w:rPr>
        <w:t>短评或报道、《</w:t>
      </w:r>
      <w:r>
        <w:rPr>
          <w:rFonts w:hint="eastAsia" w:ascii="仿宋" w:hAnsi="仿宋" w:eastAsia="仿宋"/>
          <w:sz w:val="32"/>
          <w:szCs w:val="32"/>
        </w:rPr>
        <w:t>中国科技论文在线</w:t>
      </w:r>
      <w:r>
        <w:rPr>
          <w:rFonts w:ascii="仿宋" w:hAnsi="仿宋" w:eastAsia="仿宋"/>
          <w:sz w:val="32"/>
          <w:szCs w:val="32"/>
        </w:rPr>
        <w:t>》</w:t>
      </w:r>
      <w:r>
        <w:rPr>
          <w:rFonts w:hint="eastAsia" w:ascii="仿宋" w:hAnsi="仿宋" w:eastAsia="仿宋"/>
          <w:sz w:val="32"/>
          <w:szCs w:val="32"/>
        </w:rPr>
        <w:t>的</w:t>
      </w:r>
      <w:r>
        <w:rPr>
          <w:rFonts w:ascii="仿宋" w:hAnsi="仿宋" w:eastAsia="仿宋"/>
          <w:sz w:val="32"/>
          <w:szCs w:val="32"/>
        </w:rPr>
        <w:t>学术论文。</w:t>
      </w:r>
    </w:p>
    <w:p>
      <w:pPr>
        <w:adjustRightInd/>
        <w:snapToGrid/>
        <w:spacing w:line="240" w:lineRule="auto"/>
        <w:ind w:firstLine="643" w:firstLineChars="200"/>
        <w:rPr>
          <w:rFonts w:ascii="仿宋" w:hAnsi="仿宋" w:eastAsia="仿宋"/>
          <w:b/>
          <w:bCs/>
          <w:sz w:val="32"/>
          <w:szCs w:val="32"/>
        </w:rPr>
      </w:pPr>
      <w:r>
        <w:rPr>
          <w:rFonts w:hint="eastAsia" w:ascii="仿宋" w:hAnsi="仿宋" w:eastAsia="仿宋"/>
          <w:b/>
          <w:bCs/>
          <w:sz w:val="32"/>
          <w:szCs w:val="32"/>
        </w:rPr>
        <w:t>三、日常表现分</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（1）担任校研究生会（副）主席计2分，担任校研究生会部长、院研究生会（副）主席、班长、党（团）支部书记计1分，心理委员计0.5分，且任职需满一年，由聘书或相应负责老师签字证明。</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（2）科研类（数学建模、机器人大赛等）竞赛获得国家级奖励计3分，北京市级奖励计2分，校级奖励计1分（团体类奖项由团队内部协商，个人得分不超过该项得分的50%，不低于该项得分的10%）；</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（3）文化体育竞赛类获得国家级奖励计3分，北京市级奖励计2分，校级奖励计1分，院级奖励计0.5分（团体类奖项由团队内部协商，个人得分不超过该项得分的50%，不低于该项得分的10%）；</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（4）在国际或国内学术论坛上作报告计4分，获奖再加2分；在省部级学术论坛上作报告计2分，获奖再加1分（团体类奖项由团队内部协商，个人得分不超过该项得分的50%，不低于该项得分的10%</w:t>
      </w:r>
      <w:r>
        <w:rPr>
          <w:rFonts w:ascii="仿宋" w:hAnsi="仿宋" w:eastAsia="仿宋"/>
          <w:sz w:val="32"/>
          <w:szCs w:val="32"/>
        </w:rPr>
        <w:t>。</w:t>
      </w:r>
      <w:r>
        <w:rPr>
          <w:rFonts w:hint="eastAsia" w:ascii="仿宋" w:hAnsi="仿宋" w:eastAsia="仿宋"/>
          <w:sz w:val="32"/>
          <w:szCs w:val="32"/>
        </w:rPr>
        <w:t>）；在校级研究生学术论坛上作报告计1分，获奖再加0.5分；在院级研究生学术论坛上作报告并获奖计1分（邀请函导师签字证明）。</w:t>
      </w:r>
    </w:p>
    <w:p>
      <w:pPr>
        <w:adjustRightInd/>
        <w:snapToGrid/>
        <w:spacing w:line="240" w:lineRule="auto"/>
        <w:ind w:firstLine="651"/>
        <w:rPr>
          <w:rFonts w:ascii="仿宋" w:hAnsi="仿宋" w:eastAsia="仿宋"/>
          <w:sz w:val="32"/>
          <w:szCs w:val="32"/>
        </w:rPr>
      </w:pPr>
      <w:r>
        <w:rPr>
          <w:rFonts w:hint="eastAsia" w:ascii="仿宋" w:hAnsi="仿宋" w:eastAsia="仿宋"/>
          <w:sz w:val="32"/>
          <w:szCs w:val="32"/>
        </w:rPr>
        <w:t>（5）担任兼职辅导员且满一年计2分，担任各类助管且满一年计0.5分（学工组或相应负责老师出示证明）。</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注：日常表现单项分数可累加，但单项内分数不累加。以上日常表现所指时间为</w:t>
      </w:r>
      <w:r>
        <w:rPr>
          <w:rFonts w:hint="eastAsia" w:ascii="仿宋" w:hAnsi="仿宋" w:eastAsia="仿宋" w:cs="仿宋"/>
          <w:sz w:val="32"/>
          <w:szCs w:val="32"/>
        </w:rPr>
        <w:t>攻读当前学位近一年时间</w:t>
      </w:r>
      <w:r>
        <w:rPr>
          <w:rFonts w:hint="eastAsia" w:ascii="仿宋" w:hAnsi="仿宋" w:eastAsia="仿宋"/>
          <w:sz w:val="32"/>
          <w:szCs w:val="32"/>
        </w:rPr>
        <w:t>（即自上一年度9月1日至当年8月31日）。</w:t>
      </w:r>
    </w:p>
    <w:p>
      <w:pPr>
        <w:adjustRightInd/>
        <w:snapToGrid/>
        <w:spacing w:line="240" w:lineRule="auto"/>
        <w:ind w:firstLine="643" w:firstLineChars="200"/>
        <w:rPr>
          <w:rFonts w:ascii="仿宋" w:hAnsi="仿宋" w:eastAsia="仿宋"/>
          <w:b/>
          <w:bCs/>
          <w:sz w:val="32"/>
          <w:szCs w:val="32"/>
        </w:rPr>
      </w:pPr>
      <w:r>
        <w:rPr>
          <w:rFonts w:hint="eastAsia" w:ascii="仿宋" w:hAnsi="仿宋" w:eastAsia="仿宋"/>
          <w:b/>
          <w:bCs/>
          <w:sz w:val="32"/>
          <w:szCs w:val="32"/>
        </w:rPr>
        <w:t>四、综合得分计算方法</w:t>
      </w:r>
    </w:p>
    <w:p>
      <w:pPr>
        <w:adjustRightInd/>
        <w:snapToGrid/>
        <w:spacing w:line="240" w:lineRule="auto"/>
        <w:rPr>
          <w:rFonts w:ascii="仿宋" w:hAnsi="仿宋" w:eastAsia="仿宋"/>
          <w:sz w:val="32"/>
          <w:szCs w:val="32"/>
        </w:rPr>
      </w:pPr>
      <w:r>
        <w:rPr>
          <w:rFonts w:hint="eastAsia" w:ascii="仿宋" w:hAnsi="仿宋" w:eastAsia="仿宋"/>
          <w:sz w:val="32"/>
          <w:szCs w:val="32"/>
        </w:rPr>
        <w:t xml:space="preserve">    硕士研究生综合得分=学业分+科研成果分+日常表现分</w:t>
      </w:r>
    </w:p>
    <w:p>
      <w:pPr>
        <w:adjustRightInd/>
        <w:snapToGrid/>
        <w:spacing w:line="240" w:lineRule="auto"/>
        <w:ind w:firstLine="640" w:firstLineChars="200"/>
        <w:rPr>
          <w:rFonts w:ascii="仿宋" w:hAnsi="仿宋" w:eastAsia="仿宋"/>
          <w:sz w:val="32"/>
          <w:szCs w:val="32"/>
        </w:rPr>
      </w:pPr>
      <w:r>
        <w:rPr>
          <w:rFonts w:hint="eastAsia" w:ascii="仿宋" w:hAnsi="仿宋" w:eastAsia="仿宋"/>
          <w:sz w:val="32"/>
          <w:szCs w:val="32"/>
        </w:rPr>
        <w:t>博士研究生综合得分=科研成果分+日常表现分</w:t>
      </w:r>
    </w:p>
    <w:p>
      <w:pPr>
        <w:adjustRightInd/>
        <w:snapToGrid/>
        <w:spacing w:line="240" w:lineRule="auto"/>
        <w:ind w:firstLine="640" w:firstLineChars="200"/>
        <w:jc w:val="left"/>
        <w:rPr>
          <w:rFonts w:ascii="仿宋" w:hAnsi="仿宋" w:eastAsia="仿宋" w:cs="仿宋"/>
          <w:sz w:val="32"/>
          <w:szCs w:val="32"/>
        </w:rPr>
      </w:pPr>
      <w:r>
        <w:rPr>
          <w:rFonts w:hint="eastAsia" w:ascii="仿宋" w:hAnsi="仿宋" w:eastAsia="仿宋"/>
          <w:sz w:val="32"/>
          <w:szCs w:val="32"/>
        </w:rPr>
        <w:t>注：博士研究生需提交学业成绩单作为参考。</w:t>
      </w:r>
      <w:r>
        <w:rPr>
          <w:rFonts w:hint="eastAsia" w:ascii="仿宋" w:hAnsi="仿宋" w:eastAsia="仿宋" w:cs="仿宋"/>
          <w:sz w:val="32"/>
          <w:szCs w:val="32"/>
        </w:rPr>
        <w:t>同学科内综合得分相同者（精确到小数点后2位数字），学术型研究生按科研成果分、学业分、日常表现分为顺序，专业型研究生按日常表现分、学业分、科研成果分为顺序，依次进行单项评比，直至分出先后顺序，如单项评比后依然同分，由研究生国家奖学金评审委员会评审裁定。</w:t>
      </w:r>
    </w:p>
    <w:p>
      <w:pPr>
        <w:widowControl/>
        <w:spacing w:before="156" w:beforeLines="50" w:after="156" w:afterLines="50"/>
        <w:jc w:val="both"/>
        <w:rPr>
          <w:rFonts w:hint="eastAsia" w:ascii="华文仿宋" w:hAnsi="华文仿宋" w:eastAsia="华文仿宋" w:cs="宋体"/>
          <w:bCs/>
          <w:color w:val="000000"/>
          <w:kern w:val="0"/>
          <w:sz w:val="32"/>
          <w:szCs w:val="32"/>
          <w:lang w:eastAsia="zh-CN"/>
        </w:rPr>
      </w:pPr>
    </w:p>
    <w:p>
      <w:pPr>
        <w:pStyle w:val="3"/>
        <w:spacing w:line="360" w:lineRule="auto"/>
        <w:ind w:firstLine="640" w:firstLineChars="200"/>
        <w:rPr>
          <w:rFonts w:hint="eastAsia" w:ascii="仿宋" w:hAnsi="仿宋" w:eastAsia="仿宋" w:cs="仿宋"/>
          <w:szCs w:val="32"/>
        </w:rPr>
      </w:pPr>
    </w:p>
    <w:sectPr>
      <w:footerReference r:id="rId3" w:type="default"/>
      <w:footerReference r:id="rId4" w:type="even"/>
      <w:pgSz w:w="11906" w:h="16838"/>
      <w:pgMar w:top="2041" w:right="1474" w:bottom="2041" w:left="1474" w:header="851" w:footer="170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92" w:leftChars="140" w:right="392" w:rightChars="140"/>
      <w:rPr>
        <w:rStyle w:val="8"/>
        <w:rFonts w:ascii="宋体" w:hAnsi="宋体"/>
        <w:sz w:val="28"/>
      </w:rPr>
    </w:pPr>
    <w:r>
      <w:rPr>
        <w:rStyle w:val="8"/>
        <w:rFonts w:hint="eastAsia" w:ascii="仿宋_GB2312"/>
        <w:sz w:val="24"/>
      </w:rPr>
      <w:t xml:space="preserve">— </w:t>
    </w:r>
    <w:r>
      <w:rPr>
        <w:rFonts w:ascii="宋体" w:hAnsi="宋体"/>
        <w:sz w:val="24"/>
      </w:rPr>
      <w:fldChar w:fldCharType="begin"/>
    </w:r>
    <w:r>
      <w:rPr>
        <w:rStyle w:val="8"/>
        <w:rFonts w:ascii="宋体" w:hAnsi="宋体"/>
        <w:sz w:val="24"/>
      </w:rPr>
      <w:instrText xml:space="preserve">PAGE  </w:instrText>
    </w:r>
    <w:r>
      <w:rPr>
        <w:rFonts w:ascii="宋体" w:hAnsi="宋体"/>
        <w:sz w:val="24"/>
      </w:rPr>
      <w:fldChar w:fldCharType="separate"/>
    </w:r>
    <w:r>
      <w:rPr>
        <w:rStyle w:val="8"/>
        <w:rFonts w:ascii="宋体" w:hAnsi="宋体"/>
        <w:sz w:val="24"/>
      </w:rPr>
      <w:t>2</w:t>
    </w:r>
    <w:r>
      <w:rPr>
        <w:rFonts w:ascii="宋体" w:hAnsi="宋体"/>
        <w:sz w:val="24"/>
      </w:rPr>
      <w:fldChar w:fldCharType="end"/>
    </w:r>
    <w:r>
      <w:rPr>
        <w:rStyle w:val="8"/>
        <w:rFonts w:hint="eastAsia" w:ascii="仿宋_GB2312"/>
        <w:sz w:val="24"/>
      </w:rPr>
      <w:t xml:space="preserve"> —</w:t>
    </w:r>
  </w:p>
  <w:p>
    <w:pPr>
      <w:pStyle w:val="4"/>
      <w:framePr w:hSpace="227" w:wrap="around" w:vAnchor="page" w:hAnchor="page" w:x="1532" w:yAlign="top"/>
      <w:ind w:right="360" w:firstLine="360"/>
      <w:rPr>
        <w:rStyle w:val="8"/>
      </w:rPr>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4F8D23"/>
    <w:multiLevelType w:val="singleLevel"/>
    <w:tmpl w:val="BD4F8D23"/>
    <w:lvl w:ilvl="0" w:tentative="0">
      <w:start w:val="6"/>
      <w:numFmt w:val="chineseCounting"/>
      <w:suff w:val="space"/>
      <w:lvlText w:val="第%1条"/>
      <w:lvlJc w:val="left"/>
      <w:rPr>
        <w:rFonts w:hint="eastAsia"/>
      </w:rPr>
    </w:lvl>
  </w:abstractNum>
  <w:abstractNum w:abstractNumId="1">
    <w:nsid w:val="E16BF8D7"/>
    <w:multiLevelType w:val="singleLevel"/>
    <w:tmpl w:val="E16BF8D7"/>
    <w:lvl w:ilvl="0" w:tentative="0">
      <w:start w:val="1"/>
      <w:numFmt w:val="chineseCounting"/>
      <w:suff w:val="nothing"/>
      <w:lvlText w:val="（%1）"/>
      <w:lvlJc w:val="left"/>
      <w:rPr>
        <w:rFonts w:hint="eastAsia"/>
      </w:rPr>
    </w:lvl>
  </w:abstractNum>
  <w:abstractNum w:abstractNumId="2">
    <w:nsid w:val="EF7114C9"/>
    <w:multiLevelType w:val="singleLevel"/>
    <w:tmpl w:val="EF7114C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8F"/>
    <w:rsid w:val="0005362C"/>
    <w:rsid w:val="0006448A"/>
    <w:rsid w:val="002D22AC"/>
    <w:rsid w:val="004A4E81"/>
    <w:rsid w:val="00587A72"/>
    <w:rsid w:val="005E2C10"/>
    <w:rsid w:val="007461C2"/>
    <w:rsid w:val="009D0D4D"/>
    <w:rsid w:val="00AE15F8"/>
    <w:rsid w:val="00B33F8F"/>
    <w:rsid w:val="00BC7292"/>
    <w:rsid w:val="00D86E79"/>
    <w:rsid w:val="00E06C3A"/>
    <w:rsid w:val="00E44F81"/>
    <w:rsid w:val="00E62FCC"/>
    <w:rsid w:val="00F41D41"/>
    <w:rsid w:val="00F6388D"/>
    <w:rsid w:val="0B7E45E9"/>
    <w:rsid w:val="14437A51"/>
    <w:rsid w:val="151172E9"/>
    <w:rsid w:val="180236E0"/>
    <w:rsid w:val="2233091F"/>
    <w:rsid w:val="2D0527BE"/>
    <w:rsid w:val="3A81688B"/>
    <w:rsid w:val="3AB337BB"/>
    <w:rsid w:val="3F3C7761"/>
    <w:rsid w:val="40F347AB"/>
    <w:rsid w:val="4FA37512"/>
    <w:rsid w:val="522605DD"/>
    <w:rsid w:val="5823702C"/>
    <w:rsid w:val="6F9E17DB"/>
    <w:rsid w:val="794A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468" w:beforeLines="150"/>
      <w:ind w:firstLine="0" w:firstLineChars="0"/>
      <w:jc w:val="center"/>
      <w:outlineLvl w:val="0"/>
    </w:pPr>
    <w:rPr>
      <w:rFonts w:eastAsia="方正黑体简体"/>
      <w:kern w:val="44"/>
      <w:sz w:val="3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0"/>
    <w:pPr>
      <w:spacing w:line="640" w:lineRule="atLeast"/>
    </w:pPr>
    <w:rPr>
      <w:rFonts w:eastAsia="仿宋_GB2312"/>
      <w:sz w:val="32"/>
    </w:rPr>
  </w:style>
  <w:style w:type="paragraph" w:styleId="4">
    <w:name w:val="footer"/>
    <w:basedOn w:val="1"/>
    <w:link w:val="9"/>
    <w:qFormat/>
    <w:uiPriority w:val="0"/>
    <w:pPr>
      <w:tabs>
        <w:tab w:val="center" w:pos="4153"/>
        <w:tab w:val="right" w:pos="8306"/>
        <w:tab w:val="clear" w:pos="0"/>
      </w:tabs>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 w:val="clear" w:pos="0"/>
      </w:tabs>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0"/>
    <w:rPr>
      <w:rFonts w:ascii="Times New Roman" w:hAnsi="Times New Roman" w:eastAsia="宋体" w:cs="Times New Roman"/>
      <w:sz w:val="18"/>
      <w:szCs w:val="18"/>
    </w:rPr>
  </w:style>
  <w:style w:type="character" w:customStyle="1" w:styleId="10">
    <w:name w:val="正文文本 字符"/>
    <w:basedOn w:val="7"/>
    <w:link w:val="3"/>
    <w:qFormat/>
    <w:uiPriority w:val="0"/>
    <w:rPr>
      <w:rFonts w:ascii="Times New Roman" w:hAnsi="Times New Roman" w:eastAsia="仿宋_GB2312" w:cs="Times New Roman"/>
      <w:sz w:val="32"/>
      <w:szCs w:val="24"/>
    </w:rPr>
  </w:style>
  <w:style w:type="character" w:customStyle="1" w:styleId="11">
    <w:name w:val="页眉 字符"/>
    <w:basedOn w:val="7"/>
    <w:link w:val="5"/>
    <w:qFormat/>
    <w:uiPriority w:val="99"/>
    <w:rPr>
      <w:rFonts w:ascii="Times New Roman" w:hAnsi="Times New Roman" w:eastAsia="宋体" w:cs="Times New Roman"/>
      <w:sz w:val="18"/>
      <w:szCs w:val="18"/>
    </w:rPr>
  </w:style>
  <w:style w:type="paragraph" w:customStyle="1" w:styleId="12">
    <w:name w:val="Char"/>
    <w:basedOn w:val="1"/>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Words>
  <Characters>1528</Characters>
  <Lines>12</Lines>
  <Paragraphs>3</Paragraphs>
  <TotalTime>21</TotalTime>
  <ScaleCrop>false</ScaleCrop>
  <LinksUpToDate>false</LinksUpToDate>
  <CharactersWithSpaces>1793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2020-09-15T16:29:00Z</dcterms:created>
  <dc:creator>永波 甘</dc:creator>
  <cp:lastModifiedBy>。。。。。</cp:lastModifiedBy>
  <dcterms:modified xsi:type="dcterms:W3CDTF">2020-09-28T07:46:25Z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