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仿宋" w:eastAsia="仿宋_GB2312" w:cs="仿宋"/>
          <w:bCs/>
          <w:sz w:val="32"/>
          <w:szCs w:val="32"/>
          <w:highlight w:val="none"/>
        </w:rPr>
      </w:pPr>
      <w:r>
        <w:rPr>
          <w:rFonts w:hint="eastAsia" w:ascii="仿宋_GB2312" w:hAnsi="仿宋" w:eastAsia="仿宋_GB2312" w:cs="仿宋"/>
          <w:bCs/>
          <w:sz w:val="32"/>
          <w:szCs w:val="32"/>
          <w:highlight w:val="none"/>
        </w:rPr>
        <w:t>附件1：</w:t>
      </w:r>
    </w:p>
    <w:p>
      <w:pPr>
        <w:spacing w:line="360" w:lineRule="auto"/>
        <w:contextualSpacing/>
        <w:jc w:val="center"/>
        <w:rPr>
          <w:rFonts w:ascii="方正小标宋简体" w:hAnsi="方正小标宋简体" w:eastAsia="方正小标宋简体"/>
          <w:sz w:val="36"/>
          <w:szCs w:val="36"/>
          <w:highlight w:val="none"/>
        </w:rPr>
      </w:pPr>
      <w:r>
        <w:rPr>
          <w:rFonts w:hint="eastAsia" w:ascii="方正小标宋简体" w:hAnsi="方正小标宋简体" w:eastAsia="方正小标宋简体"/>
          <w:sz w:val="36"/>
          <w:szCs w:val="36"/>
          <w:highlight w:val="none"/>
        </w:rPr>
        <w:t>工程技术学院研究生国家奖学金评审工作实施细则</w:t>
      </w:r>
    </w:p>
    <w:p>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第一章  总  则</w:t>
      </w:r>
    </w:p>
    <w:p>
      <w:pPr>
        <w:pStyle w:val="4"/>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第一条</w:t>
      </w:r>
      <w:r>
        <w:rPr>
          <w:rFonts w:hint="eastAsia" w:ascii="仿宋_GB2312" w:hAnsi="仿宋" w:cs="仿宋"/>
          <w:szCs w:val="32"/>
          <w:highlight w:val="none"/>
        </w:rPr>
        <w:t xml:space="preserve"> 为进一步规范我院研究生国家奖学金评审工作，确保评审质量和评审结果的权威性，激励研究生勤奋学习、专心科研，根据</w:t>
      </w:r>
      <w:r>
        <w:rPr>
          <w:rFonts w:hint="eastAsia" w:ascii="仿宋_GB2312" w:hAnsi="仿宋"/>
          <w:szCs w:val="32"/>
          <w:highlight w:val="none"/>
        </w:rPr>
        <w:t>《中国地质大学（北京）研究生国家奖学金管理暂行办法》（中地大京发〔2020〕112号），结合我院</w:t>
      </w:r>
      <w:r>
        <w:rPr>
          <w:rFonts w:hint="eastAsia" w:ascii="仿宋_GB2312" w:hAnsi="仿宋" w:cs="仿宋"/>
          <w:szCs w:val="32"/>
          <w:highlight w:val="none"/>
        </w:rPr>
        <w:t>实际，制定本细则。</w:t>
      </w:r>
    </w:p>
    <w:p>
      <w:pPr>
        <w:pStyle w:val="4"/>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第二条</w:t>
      </w:r>
      <w:r>
        <w:rPr>
          <w:rFonts w:hint="eastAsia" w:ascii="仿宋_GB2312" w:hAnsi="仿宋" w:cs="仿宋"/>
          <w:szCs w:val="32"/>
          <w:highlight w:val="none"/>
        </w:rPr>
        <w:t xml:space="preserve"> 研究生国家奖学金用于奖励我院表现优异的全日制研究生（不含定向及委培研究生），旨在发展中国特色研究生教育，促进研究生培养机制改革，提高研究生培养质量。</w:t>
      </w:r>
    </w:p>
    <w:p>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第二章  奖励标准与评选条件</w:t>
      </w:r>
    </w:p>
    <w:p>
      <w:pPr>
        <w:pStyle w:val="4"/>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第三条</w:t>
      </w:r>
      <w:r>
        <w:rPr>
          <w:rFonts w:hint="eastAsia" w:ascii="仿宋_GB2312" w:hAnsi="仿宋" w:cs="仿宋"/>
          <w:szCs w:val="32"/>
          <w:highlight w:val="none"/>
        </w:rPr>
        <w:t xml:space="preserve"> 博士研究生国家奖学金奖励标准为每生每年3万元；硕士研究生国家奖学金奖励标准为每生每年2万元。</w:t>
      </w:r>
    </w:p>
    <w:p>
      <w:pPr>
        <w:pStyle w:val="4"/>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第四条</w:t>
      </w:r>
      <w:r>
        <w:rPr>
          <w:rFonts w:hint="eastAsia" w:ascii="仿宋_GB2312" w:hAnsi="仿宋" w:cs="仿宋"/>
          <w:szCs w:val="32"/>
          <w:highlight w:val="none"/>
        </w:rPr>
        <w:t xml:space="preserve"> 研究生国家奖学金的基本申请条件：</w:t>
      </w:r>
    </w:p>
    <w:p>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（一）具有中华人民共和国国籍；</w:t>
      </w:r>
    </w:p>
    <w:p>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（二）热爱社会主义祖国，拥护中国共产党的领导；</w:t>
      </w:r>
    </w:p>
    <w:p>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（三）遵守宪法和法律，遵守学校及学院规章制度；</w:t>
      </w:r>
    </w:p>
    <w:p>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（四）诚实守信，道德品质优良；</w:t>
      </w:r>
    </w:p>
    <w:p>
      <w:pPr>
        <w:autoSpaceDE w:val="0"/>
        <w:autoSpaceDN w:val="0"/>
        <w:spacing w:line="360" w:lineRule="auto"/>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（五）学习成绩优异，科研能力显著，发展潜力突出。</w:t>
      </w:r>
    </w:p>
    <w:p>
      <w:pPr>
        <w:pStyle w:val="4"/>
        <w:autoSpaceDE w:val="0"/>
        <w:autoSpaceDN w:val="0"/>
        <w:spacing w:line="360" w:lineRule="auto"/>
        <w:ind w:firstLine="635" w:firstLineChars="200"/>
        <w:rPr>
          <w:rFonts w:ascii="仿宋_GB2312" w:hAnsi="仿宋" w:cs="仿宋"/>
          <w:spacing w:val="-2"/>
          <w:szCs w:val="32"/>
          <w:highlight w:val="none"/>
        </w:rPr>
      </w:pPr>
      <w:r>
        <w:rPr>
          <w:rFonts w:hint="eastAsia" w:ascii="仿宋_GB2312" w:hAnsi="仿宋" w:cs="仿宋"/>
          <w:b/>
          <w:spacing w:val="-2"/>
          <w:szCs w:val="32"/>
          <w:highlight w:val="none"/>
        </w:rPr>
        <w:t>第五条</w:t>
      </w:r>
      <w:r>
        <w:rPr>
          <w:rFonts w:hint="eastAsia" w:ascii="仿宋_GB2312" w:hAnsi="仿宋" w:cs="仿宋"/>
          <w:spacing w:val="-2"/>
          <w:szCs w:val="32"/>
          <w:highlight w:val="none"/>
        </w:rPr>
        <w:t xml:space="preserve"> 在符合基本条件的前提下，申请人还应满足以下具体条件：</w:t>
      </w:r>
    </w:p>
    <w:p>
      <w:pPr>
        <w:pStyle w:val="4"/>
        <w:autoSpaceDE w:val="0"/>
        <w:autoSpaceDN w:val="0"/>
        <w:spacing w:line="360" w:lineRule="auto"/>
        <w:ind w:firstLine="632" w:firstLineChars="200"/>
        <w:rPr>
          <w:rFonts w:hint="eastAsia" w:ascii="仿宋_GB2312" w:hAnsi="仿宋" w:cs="仿宋"/>
          <w:szCs w:val="32"/>
          <w:highlight w:val="none"/>
        </w:rPr>
      </w:pPr>
      <w:r>
        <w:rPr>
          <w:rFonts w:hint="eastAsia" w:ascii="仿宋_GB2312" w:hAnsi="仿宋" w:cs="仿宋"/>
          <w:spacing w:val="-2"/>
          <w:szCs w:val="32"/>
          <w:highlight w:val="none"/>
        </w:rPr>
        <w:t>（一）年级要求：在学制期限基本修业年限内，在校二年级</w:t>
      </w:r>
      <w:r>
        <w:rPr>
          <w:rFonts w:hint="eastAsia" w:ascii="仿宋_GB2312" w:hAnsi="仿宋" w:cs="仿宋"/>
          <w:spacing w:val="-3"/>
          <w:szCs w:val="32"/>
          <w:highlight w:val="none"/>
        </w:rPr>
        <w:t>以上</w:t>
      </w:r>
      <w:r>
        <w:rPr>
          <w:rFonts w:hint="eastAsia" w:ascii="仿宋_GB2312" w:hAnsi="仿宋" w:cs="仿宋"/>
          <w:szCs w:val="32"/>
          <w:highlight w:val="none"/>
        </w:rPr>
        <w:t>（含二年级</w:t>
      </w:r>
      <w:r>
        <w:rPr>
          <w:rFonts w:hint="eastAsia" w:ascii="仿宋_GB2312" w:hAnsi="仿宋" w:cs="仿宋"/>
          <w:spacing w:val="-3"/>
          <w:szCs w:val="32"/>
          <w:highlight w:val="none"/>
        </w:rPr>
        <w:t>）的硕士、博士研究生（含直博生）。硕博连读博士阶段</w:t>
      </w:r>
      <w:r>
        <w:rPr>
          <w:rFonts w:hint="eastAsia" w:ascii="仿宋_GB2312" w:hAnsi="仿宋" w:cs="仿宋"/>
          <w:szCs w:val="32"/>
          <w:highlight w:val="none"/>
        </w:rPr>
        <w:t>一年级学生也可参评。</w:t>
      </w:r>
    </w:p>
    <w:p>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w:t>
      </w:r>
      <w:r>
        <w:rPr>
          <w:rFonts w:hint="eastAsia" w:ascii="仿宋_GB2312" w:hAnsi="仿宋" w:cs="仿宋"/>
          <w:szCs w:val="32"/>
          <w:highlight w:val="none"/>
          <w:lang w:val="en-US" w:eastAsia="zh-CN"/>
        </w:rPr>
        <w:t>二</w:t>
      </w:r>
      <w:r>
        <w:rPr>
          <w:rFonts w:hint="eastAsia" w:ascii="仿宋_GB2312" w:hAnsi="仿宋" w:cs="仿宋"/>
          <w:szCs w:val="32"/>
          <w:highlight w:val="none"/>
        </w:rPr>
        <w:t>）成绩要求：按规定完成课程学习，</w:t>
      </w:r>
      <w:r>
        <w:rPr>
          <w:rFonts w:hint="eastAsia" w:ascii="仿宋_GB2312" w:hAnsi="仿宋" w:cs="仿宋"/>
          <w:spacing w:val="6"/>
          <w:w w:val="95"/>
          <w:szCs w:val="32"/>
          <w:highlight w:val="none"/>
        </w:rPr>
        <w:t>无补考科目，</w:t>
      </w:r>
      <w:r>
        <w:rPr>
          <w:rFonts w:hint="eastAsia" w:ascii="仿宋_GB2312" w:hAnsi="仿宋" w:cs="仿宋"/>
          <w:szCs w:val="32"/>
          <w:highlight w:val="none"/>
        </w:rPr>
        <w:t>且学位必修课程成绩优良。</w:t>
      </w:r>
    </w:p>
    <w:p>
      <w:pPr>
        <w:pStyle w:val="4"/>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三）科研成果要求：参评学年内（上一年度9月1日至当年8月31日）科研成果突出。对学术型研究生，偏重考察其科研创新能力和体现创新能力的科研成果；对专业学位研究生，偏重考察其专业实践能力和适应专业岗位的综合素质。</w:t>
      </w:r>
    </w:p>
    <w:p>
      <w:pPr>
        <w:numPr>
          <w:ilvl w:val="0"/>
          <w:numId w:val="0"/>
        </w:numPr>
        <w:tabs>
          <w:tab w:val="clear" w:pos="0"/>
        </w:tabs>
        <w:spacing w:line="360" w:lineRule="auto"/>
        <w:ind w:firstLine="643" w:firstLineChars="200"/>
        <w:rPr>
          <w:rFonts w:ascii="仿宋_GB2312" w:hAnsi="仿宋" w:eastAsia="仿宋_GB2312"/>
          <w:sz w:val="32"/>
          <w:szCs w:val="32"/>
          <w:highlight w:val="none"/>
        </w:rPr>
      </w:pPr>
      <w:r>
        <w:rPr>
          <w:rFonts w:hint="eastAsia" w:ascii="仿宋_GB2312" w:hAnsi="仿宋" w:eastAsia="仿宋_GB2312" w:cs="Times New Roman"/>
          <w:b/>
          <w:kern w:val="2"/>
          <w:sz w:val="32"/>
          <w:szCs w:val="32"/>
          <w:lang w:val="en-US" w:eastAsia="zh-CN" w:bidi="ar-SA"/>
        </w:rPr>
        <w:t>第六条</w:t>
      </w:r>
      <w:r>
        <w:rPr>
          <w:rFonts w:hint="eastAsia" w:ascii="仿宋_GB2312" w:hAnsi="仿宋" w:cs="仿宋"/>
          <w:szCs w:val="32"/>
          <w:highlight w:val="none"/>
        </w:rPr>
        <w:t xml:space="preserve"> </w:t>
      </w:r>
      <w:r>
        <w:rPr>
          <w:rFonts w:hint="eastAsia" w:ascii="仿宋_GB2312" w:hAnsi="仿宋" w:eastAsia="仿宋_GB2312"/>
          <w:sz w:val="32"/>
          <w:szCs w:val="32"/>
          <w:highlight w:val="none"/>
        </w:rPr>
        <w:t>研究生出现以下任一情况，不具备当年研究生国家奖学金参评资格：</w:t>
      </w:r>
    </w:p>
    <w:p>
      <w:pPr>
        <w:numPr>
          <w:ilvl w:val="0"/>
          <w:numId w:val="1"/>
        </w:numPr>
        <w:tabs>
          <w:tab w:val="clear" w:pos="0"/>
        </w:tabs>
        <w:spacing w:line="360" w:lineRule="auto"/>
        <w:ind w:firstLine="640" w:firstLineChars="200"/>
        <w:rPr>
          <w:rFonts w:ascii="仿宋_GB2312" w:hAnsi="仿宋" w:eastAsia="仿宋_GB2312"/>
          <w:spacing w:val="-10"/>
          <w:sz w:val="32"/>
          <w:szCs w:val="32"/>
          <w:highlight w:val="none"/>
        </w:rPr>
      </w:pPr>
      <w:r>
        <w:rPr>
          <w:rFonts w:hint="eastAsia" w:ascii="仿宋_GB2312" w:hAnsi="仿宋" w:eastAsia="仿宋_GB2312"/>
          <w:sz w:val="32"/>
          <w:szCs w:val="32"/>
          <w:highlight w:val="none"/>
        </w:rPr>
        <w:t>参</w:t>
      </w:r>
      <w:r>
        <w:rPr>
          <w:rFonts w:hint="eastAsia" w:ascii="仿宋_GB2312" w:hAnsi="仿宋" w:eastAsia="仿宋_GB2312"/>
          <w:spacing w:val="-10"/>
          <w:sz w:val="32"/>
          <w:szCs w:val="32"/>
          <w:highlight w:val="none"/>
        </w:rPr>
        <w:t>评学年违反国家法律、校纪校规受到纪律处分者；</w:t>
      </w:r>
    </w:p>
    <w:p>
      <w:pPr>
        <w:numPr>
          <w:ilvl w:val="0"/>
          <w:numId w:val="1"/>
        </w:numPr>
        <w:tabs>
          <w:tab w:val="clear" w:pos="0"/>
        </w:tabs>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参评学年有抄袭剽窃、弄虚作假等学术不端行为经查证属实的；</w:t>
      </w:r>
    </w:p>
    <w:p>
      <w:pPr>
        <w:numPr>
          <w:ilvl w:val="0"/>
          <w:numId w:val="1"/>
        </w:numPr>
        <w:tabs>
          <w:tab w:val="clear" w:pos="0"/>
        </w:tabs>
        <w:spacing w:line="360" w:lineRule="auto"/>
        <w:ind w:firstLine="640" w:firstLineChars="200"/>
        <w:rPr>
          <w:rFonts w:ascii="仿宋_GB2312" w:hAnsi="仿宋" w:eastAsia="仿宋_GB2312" w:cs="仿宋"/>
          <w:sz w:val="32"/>
          <w:szCs w:val="32"/>
          <w:highlight w:val="none"/>
        </w:rPr>
      </w:pPr>
      <w:r>
        <w:rPr>
          <w:rFonts w:hint="eastAsia" w:ascii="仿宋_GB2312" w:hAnsi="仿宋" w:eastAsia="仿宋_GB2312"/>
          <w:sz w:val="32"/>
          <w:szCs w:val="32"/>
          <w:highlight w:val="none"/>
        </w:rPr>
        <w:t>参评学年学籍状态处于休学、保留学籍者。</w:t>
      </w:r>
    </w:p>
    <w:p>
      <w:pPr>
        <w:numPr>
          <w:ilvl w:val="0"/>
          <w:numId w:val="0"/>
        </w:numPr>
        <w:tabs>
          <w:tab w:val="clear" w:pos="0"/>
        </w:tabs>
        <w:spacing w:line="360" w:lineRule="auto"/>
        <w:ind w:firstLine="643" w:firstLineChars="200"/>
        <w:rPr>
          <w:rFonts w:ascii="仿宋_GB2312" w:hAnsi="仿宋" w:eastAsia="仿宋_GB2312" w:cs="仿宋"/>
          <w:sz w:val="32"/>
          <w:szCs w:val="32"/>
          <w:highlight w:val="none"/>
        </w:rPr>
      </w:pPr>
      <w:r>
        <w:rPr>
          <w:rFonts w:hint="eastAsia" w:ascii="仿宋_GB2312" w:hAnsi="仿宋" w:eastAsia="仿宋_GB2312" w:cs="仿宋"/>
          <w:b/>
          <w:kern w:val="2"/>
          <w:sz w:val="32"/>
          <w:szCs w:val="32"/>
          <w:lang w:val="en-US" w:eastAsia="zh-CN" w:bidi="ar-SA"/>
        </w:rPr>
        <w:t>第七条</w:t>
      </w:r>
      <w:r>
        <w:rPr>
          <w:rFonts w:hint="eastAsia" w:ascii="仿宋_GB2312" w:hAnsi="仿宋" w:cs="仿宋"/>
          <w:szCs w:val="32"/>
          <w:highlight w:val="none"/>
        </w:rPr>
        <w:t xml:space="preserve"> </w:t>
      </w:r>
      <w:r>
        <w:rPr>
          <w:rFonts w:hint="eastAsia" w:ascii="仿宋_GB2312" w:hAnsi="仿宋" w:eastAsia="仿宋_GB2312"/>
          <w:sz w:val="32"/>
          <w:szCs w:val="32"/>
          <w:highlight w:val="none"/>
        </w:rPr>
        <w:t>研究生在学制期限基本修业年限内可多次获得研究生国家奖学金。</w:t>
      </w:r>
    </w:p>
    <w:p>
      <w:pPr>
        <w:numPr>
          <w:ilvl w:val="0"/>
          <w:numId w:val="0"/>
        </w:numPr>
        <w:tabs>
          <w:tab w:val="clear" w:pos="0"/>
        </w:tabs>
        <w:spacing w:line="360" w:lineRule="auto"/>
        <w:ind w:firstLine="611" w:firstLineChars="200"/>
        <w:rPr>
          <w:rFonts w:ascii="仿宋_GB2312" w:hAnsi="仿宋" w:eastAsia="仿宋_GB2312" w:cs="仿宋"/>
          <w:spacing w:val="-8"/>
          <w:sz w:val="32"/>
          <w:szCs w:val="32"/>
          <w:highlight w:val="none"/>
        </w:rPr>
      </w:pPr>
      <w:r>
        <w:rPr>
          <w:rFonts w:hint="eastAsia" w:ascii="仿宋_GB2312" w:hAnsi="仿宋" w:eastAsia="仿宋_GB2312" w:cs="仿宋"/>
          <w:b/>
          <w:spacing w:val="-8"/>
          <w:kern w:val="2"/>
          <w:sz w:val="32"/>
          <w:szCs w:val="32"/>
          <w:lang w:val="en-US" w:eastAsia="zh-CN" w:bidi="ar-SA"/>
        </w:rPr>
        <w:t>第八条</w:t>
      </w:r>
      <w:r>
        <w:rPr>
          <w:rFonts w:hint="eastAsia" w:ascii="仿宋_GB2312" w:hAnsi="仿宋" w:eastAsia="仿宋_GB2312"/>
          <w:sz w:val="32"/>
          <w:szCs w:val="32"/>
          <w:highlight w:val="none"/>
        </w:rPr>
        <w:t xml:space="preserve"> 在</w:t>
      </w:r>
      <w:r>
        <w:rPr>
          <w:rFonts w:hint="eastAsia" w:ascii="仿宋_GB2312" w:hAnsi="仿宋" w:eastAsia="仿宋_GB2312"/>
          <w:spacing w:val="-8"/>
          <w:sz w:val="32"/>
          <w:szCs w:val="32"/>
          <w:highlight w:val="none"/>
        </w:rPr>
        <w:t>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第三章  评审组织机构</w:t>
      </w:r>
    </w:p>
    <w:p>
      <w:pPr>
        <w:pStyle w:val="4"/>
        <w:tabs>
          <w:tab w:val="left" w:pos="2043"/>
        </w:tabs>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第九条</w:t>
      </w:r>
      <w:r>
        <w:rPr>
          <w:rFonts w:hint="eastAsia" w:ascii="仿宋_GB2312" w:hAnsi="仿宋" w:cs="仿宋"/>
          <w:szCs w:val="32"/>
          <w:highlight w:val="none"/>
        </w:rPr>
        <w:t xml:space="preserve"> 学院成立研究生国家奖学金评审委员会（以下简称评审委员会），负责研究生国家奖学金的评审工作。</w:t>
      </w:r>
    </w:p>
    <w:p>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评审委员会由学院主要领导任主任委员，分管学生工作和研究生教学的领导、研究生教学秘书、研究生辅导员、研究生导师和研究生代表（未申报当年度国家奖学金）任委员。</w:t>
      </w:r>
    </w:p>
    <w:p>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评审委员会办公室设在学院学工组，负责组织、协调本学院的评审工作，办公室主任由学工组长兼任。</w:t>
      </w:r>
    </w:p>
    <w:p>
      <w:pPr>
        <w:pStyle w:val="4"/>
        <w:tabs>
          <w:tab w:val="left" w:pos="2043"/>
        </w:tabs>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第十条</w:t>
      </w:r>
      <w:r>
        <w:rPr>
          <w:rFonts w:hint="eastAsia" w:ascii="仿宋_GB2312" w:hAnsi="仿宋" w:cs="仿宋"/>
          <w:szCs w:val="32"/>
          <w:highlight w:val="none"/>
        </w:rPr>
        <w:t xml:space="preserve"> 评审委员会成员应遵循以下工作要求：</w:t>
      </w:r>
    </w:p>
    <w:p>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（一）严格按照评审标准和规定程序认真审阅材料，听取其他评审委员的意见，提出中肯的评审意见。</w:t>
      </w:r>
    </w:p>
    <w:p>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（二）发现与评审对象存在直系亲属关系、直接经济利益关系或有其他可能影响评审工作的情形，应当主动向评审委员会申请回避。</w:t>
      </w:r>
    </w:p>
    <w:p>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（三）受理评审过程中的争议事项，接收申诉和组织复议。</w:t>
      </w:r>
    </w:p>
    <w:p>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（四）不得利用评审委员的特殊身份和影响力，单独或与有关人员共同为评审对象获奖提供便利。</w:t>
      </w:r>
    </w:p>
    <w:p>
      <w:pPr>
        <w:pStyle w:val="4"/>
        <w:tabs>
          <w:tab w:val="left" w:pos="2043"/>
        </w:tabs>
        <w:autoSpaceDE w:val="0"/>
        <w:autoSpaceDN w:val="0"/>
        <w:spacing w:line="360" w:lineRule="auto"/>
        <w:ind w:firstLine="640" w:firstLineChars="200"/>
        <w:rPr>
          <w:rFonts w:ascii="仿宋_GB2312" w:hAnsi="仿宋" w:cs="仿宋"/>
          <w:szCs w:val="32"/>
          <w:highlight w:val="none"/>
        </w:rPr>
      </w:pPr>
      <w:r>
        <w:rPr>
          <w:rFonts w:hint="eastAsia" w:ascii="仿宋_GB2312" w:hAnsi="仿宋" w:cs="仿宋"/>
          <w:szCs w:val="32"/>
          <w:highlight w:val="none"/>
        </w:rPr>
        <w:t>（五）严格遵守保密规定，不得擅自披露评审结果、其他评审委员的意见和相关的保密信息。</w:t>
      </w:r>
    </w:p>
    <w:p>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第四章  评审程序及要求</w:t>
      </w:r>
    </w:p>
    <w:p>
      <w:pPr>
        <w:pStyle w:val="4"/>
        <w:tabs>
          <w:tab w:val="left" w:pos="2043"/>
        </w:tabs>
        <w:autoSpaceDE w:val="0"/>
        <w:autoSpaceDN w:val="0"/>
        <w:spacing w:line="360" w:lineRule="auto"/>
        <w:ind w:firstLine="643" w:firstLineChars="200"/>
        <w:rPr>
          <w:rFonts w:ascii="仿宋_GB2312" w:hAnsi="仿宋" w:cs="仿宋"/>
          <w:spacing w:val="-8"/>
          <w:szCs w:val="32"/>
          <w:highlight w:val="none"/>
        </w:rPr>
      </w:pPr>
      <w:r>
        <w:rPr>
          <w:rFonts w:hint="eastAsia" w:ascii="仿宋_GB2312" w:hAnsi="仿宋" w:cs="仿宋"/>
          <w:b/>
          <w:szCs w:val="32"/>
          <w:highlight w:val="none"/>
        </w:rPr>
        <w:t>第十一条</w:t>
      </w:r>
      <w:r>
        <w:rPr>
          <w:rFonts w:hint="eastAsia" w:ascii="仿宋_GB2312" w:hAnsi="仿宋" w:cs="仿宋"/>
          <w:szCs w:val="32"/>
          <w:highlight w:val="none"/>
        </w:rPr>
        <w:t xml:space="preserve"> 研究生国家奖学金每学年评审一次，根据学校下达指标实行评审，坚持公开、公平、公正、择优的原则。一经发现有弄虚作假者，取消当年所获研究生国家奖学金的资格。</w:t>
      </w:r>
    </w:p>
    <w:p>
      <w:pPr>
        <w:pStyle w:val="4"/>
        <w:tabs>
          <w:tab w:val="left" w:pos="2043"/>
        </w:tabs>
        <w:autoSpaceDE w:val="0"/>
        <w:autoSpaceDN w:val="0"/>
        <w:spacing w:line="360" w:lineRule="auto"/>
        <w:ind w:firstLine="643" w:firstLineChars="200"/>
        <w:rPr>
          <w:rFonts w:ascii="仿宋_GB2312" w:hAnsi="仿宋" w:cs="仿宋"/>
          <w:b/>
          <w:szCs w:val="32"/>
          <w:highlight w:val="none"/>
        </w:rPr>
      </w:pPr>
      <w:r>
        <w:rPr>
          <w:rFonts w:hint="eastAsia" w:ascii="仿宋_GB2312" w:hAnsi="仿宋" w:cs="仿宋"/>
          <w:b/>
          <w:szCs w:val="32"/>
          <w:highlight w:val="none"/>
        </w:rPr>
        <w:t>第十二条</w:t>
      </w:r>
      <w:r>
        <w:rPr>
          <w:rFonts w:hint="eastAsia" w:ascii="仿宋_GB2312" w:hAnsi="仿宋" w:cs="仿宋"/>
          <w:szCs w:val="32"/>
          <w:highlight w:val="none"/>
        </w:rPr>
        <w:t xml:space="preserve"> 凡符合上述第四条基本申请条件和第五条具体条件的学生，均可向学院提出书面申请，并按照《工程技术学院研究生国家奖学金综合得分计算方法》（见附件2）计算出综合得分。</w:t>
      </w:r>
    </w:p>
    <w:p>
      <w:pPr>
        <w:pStyle w:val="4"/>
        <w:tabs>
          <w:tab w:val="left" w:pos="2043"/>
        </w:tabs>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第十三条</w:t>
      </w:r>
      <w:r>
        <w:rPr>
          <w:rFonts w:hint="eastAsia" w:ascii="仿宋_GB2312" w:hAnsi="仿宋" w:cs="仿宋"/>
          <w:szCs w:val="32"/>
          <w:highlight w:val="none"/>
        </w:rPr>
        <w:t xml:space="preserve"> </w:t>
      </w:r>
      <w:bookmarkStart w:id="0" w:name="_Hlk146705024"/>
      <w:r>
        <w:rPr>
          <w:rFonts w:hint="eastAsia" w:ascii="仿宋_GB2312" w:hAnsi="仿宋" w:cs="仿宋"/>
          <w:szCs w:val="32"/>
          <w:highlight w:val="none"/>
        </w:rPr>
        <w:t>学院根据学校名额分配情况进行评审，并对培养质量较高的学科、学校特色优势学科、基础学科和国家亟需学科予以适当倾斜。硕士研究生各学科名额按照可参评对象基数比例计算，优先按照名额比例退位取整后分配到各学科，剩余名额按照学科候选人的综合得分排序</w:t>
      </w:r>
      <w:bookmarkEnd w:id="0"/>
      <w:r>
        <w:rPr>
          <w:rFonts w:hint="eastAsia" w:ascii="仿宋_GB2312" w:hAnsi="仿宋" w:cs="仿宋"/>
          <w:szCs w:val="32"/>
          <w:highlight w:val="none"/>
        </w:rPr>
        <w:t>。博士研究生根据综合得分排序，按照1</w:t>
      </w:r>
      <w:r>
        <w:rPr>
          <w:rFonts w:ascii="仿宋_GB2312" w:hAnsi="仿宋" w:cs="仿宋"/>
          <w:szCs w:val="32"/>
          <w:highlight w:val="none"/>
        </w:rPr>
        <w:t>50</w:t>
      </w:r>
      <w:r>
        <w:rPr>
          <w:rFonts w:hint="eastAsia" w:ascii="仿宋_GB2312" w:hAnsi="仿宋" w:cs="仿宋"/>
          <w:szCs w:val="32"/>
          <w:highlight w:val="none"/>
        </w:rPr>
        <w:t>%比例（差额不少于2人）确定候选人，</w:t>
      </w:r>
      <w:r>
        <w:rPr>
          <w:rFonts w:hint="eastAsia" w:ascii="仿宋_GB2312" w:hAnsi="仿宋" w:cs="仿宋"/>
          <w:szCs w:val="32"/>
          <w:highlight w:val="none"/>
          <w:lang w:val="en-US" w:eastAsia="zh-CN"/>
        </w:rPr>
        <w:t>学院评审委员会依据候选人的综合得分，并适当考虑学科平衡，确定最终人选</w:t>
      </w:r>
      <w:r>
        <w:rPr>
          <w:rFonts w:hint="eastAsia" w:ascii="仿宋_GB2312" w:hAnsi="仿宋" w:cs="仿宋"/>
          <w:szCs w:val="32"/>
          <w:highlight w:val="none"/>
        </w:rPr>
        <w:t>。</w:t>
      </w:r>
    </w:p>
    <w:p>
      <w:pPr>
        <w:pStyle w:val="4"/>
        <w:tabs>
          <w:tab w:val="left" w:pos="2043"/>
        </w:tabs>
        <w:autoSpaceDE w:val="0"/>
        <w:autoSpaceDN w:val="0"/>
        <w:spacing w:line="360" w:lineRule="auto"/>
        <w:ind w:firstLine="643" w:firstLineChars="200"/>
        <w:rPr>
          <w:rFonts w:ascii="仿宋_GB2312" w:hAnsi="仿宋"/>
          <w:spacing w:val="-14"/>
          <w:szCs w:val="32"/>
          <w:highlight w:val="none"/>
        </w:rPr>
      </w:pPr>
      <w:r>
        <w:rPr>
          <w:rFonts w:hint="eastAsia" w:ascii="仿宋_GB2312" w:hAnsi="仿宋" w:cs="仿宋"/>
          <w:b/>
          <w:szCs w:val="32"/>
          <w:highlight w:val="none"/>
        </w:rPr>
        <w:t>第十四条</w:t>
      </w:r>
      <w:r>
        <w:rPr>
          <w:rFonts w:hint="eastAsia" w:ascii="仿宋_GB2312" w:hAnsi="仿宋" w:cs="仿宋"/>
          <w:szCs w:val="32"/>
          <w:highlight w:val="none"/>
        </w:rPr>
        <w:t xml:space="preserve"> </w:t>
      </w:r>
      <w:r>
        <w:rPr>
          <w:rFonts w:hint="eastAsia" w:ascii="仿宋_GB2312" w:hAnsi="仿宋"/>
          <w:szCs w:val="32"/>
          <w:highlight w:val="none"/>
        </w:rPr>
        <w:t>学院评审委员会确定拟推荐学生名单，在全院范围内公示5个工作日，无异议后将推荐学生名单和学院评审工作报告报送至学校国家奖助学金评审工作领导小组办公室。</w:t>
      </w:r>
    </w:p>
    <w:p>
      <w:pPr>
        <w:pStyle w:val="4"/>
        <w:tabs>
          <w:tab w:val="left" w:pos="2043"/>
        </w:tabs>
        <w:autoSpaceDE w:val="0"/>
        <w:autoSpaceDN w:val="0"/>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第十五条</w:t>
      </w:r>
      <w:r>
        <w:rPr>
          <w:rFonts w:hint="eastAsia" w:ascii="仿宋_GB2312" w:hAnsi="仿宋" w:cs="仿宋"/>
          <w:szCs w:val="32"/>
          <w:highlight w:val="none"/>
        </w:rPr>
        <w:t xml:space="preserve"> 对研究生国家奖学金评审结果有异议的学生，可在学院公示阶段向所在学院评审委员会提出申诉，评审委员会应及时研究并予以答复。</w:t>
      </w:r>
    </w:p>
    <w:p>
      <w:pPr>
        <w:spacing w:line="360" w:lineRule="auto"/>
        <w:jc w:val="center"/>
        <w:rPr>
          <w:rFonts w:ascii="黑体" w:hAnsi="黑体" w:eastAsia="黑体" w:cs="仿宋"/>
          <w:sz w:val="32"/>
          <w:szCs w:val="32"/>
          <w:highlight w:val="none"/>
        </w:rPr>
      </w:pPr>
      <w:r>
        <w:rPr>
          <w:rFonts w:hint="eastAsia" w:ascii="黑体" w:hAnsi="黑体" w:eastAsia="黑体" w:cs="仿宋"/>
          <w:sz w:val="32"/>
          <w:szCs w:val="32"/>
          <w:highlight w:val="none"/>
        </w:rPr>
        <w:t xml:space="preserve">第五章  附 </w:t>
      </w:r>
      <w:r>
        <w:rPr>
          <w:rFonts w:ascii="黑体" w:hAnsi="黑体" w:eastAsia="黑体" w:cs="仿宋"/>
          <w:sz w:val="32"/>
          <w:szCs w:val="32"/>
          <w:highlight w:val="none"/>
        </w:rPr>
        <w:t xml:space="preserve"> </w:t>
      </w:r>
      <w:r>
        <w:rPr>
          <w:rFonts w:hint="eastAsia" w:ascii="黑体" w:hAnsi="黑体" w:eastAsia="黑体" w:cs="仿宋"/>
          <w:sz w:val="32"/>
          <w:szCs w:val="32"/>
          <w:highlight w:val="none"/>
        </w:rPr>
        <w:t xml:space="preserve">则 </w:t>
      </w:r>
    </w:p>
    <w:p>
      <w:pPr>
        <w:pStyle w:val="4"/>
        <w:spacing w:line="360" w:lineRule="auto"/>
        <w:ind w:firstLine="619" w:firstLineChars="200"/>
        <w:rPr>
          <w:rFonts w:ascii="仿宋_GB2312" w:hAnsi="仿宋" w:cs="仿宋"/>
          <w:szCs w:val="32"/>
          <w:highlight w:val="none"/>
        </w:rPr>
      </w:pPr>
      <w:r>
        <w:rPr>
          <w:rFonts w:hint="eastAsia" w:ascii="仿宋_GB2312" w:hAnsi="仿宋" w:cs="仿宋"/>
          <w:b/>
          <w:spacing w:val="-6"/>
          <w:szCs w:val="32"/>
          <w:highlight w:val="none"/>
        </w:rPr>
        <w:t>第十六条</w:t>
      </w:r>
      <w:r>
        <w:rPr>
          <w:rFonts w:hint="eastAsia" w:ascii="仿宋_GB2312" w:hAnsi="仿宋" w:cs="仿宋"/>
          <w:spacing w:val="-6"/>
          <w:szCs w:val="32"/>
          <w:highlight w:val="none"/>
        </w:rPr>
        <w:t xml:space="preserve"> </w:t>
      </w:r>
      <w:bookmarkStart w:id="1" w:name="_Hlk138686446"/>
      <w:r>
        <w:rPr>
          <w:rFonts w:hint="eastAsia" w:ascii="仿宋_GB2312"/>
          <w:szCs w:val="32"/>
          <w:highlight w:val="none"/>
        </w:rPr>
        <w:t>本办法自发文日起实施。</w:t>
      </w:r>
      <w:r>
        <w:rPr>
          <w:rFonts w:hint="eastAsia" w:ascii="仿宋_GB2312" w:hAnsi="仿宋" w:cs="仿宋"/>
          <w:spacing w:val="-6"/>
          <w:szCs w:val="32"/>
          <w:highlight w:val="none"/>
        </w:rPr>
        <w:t>《</w:t>
      </w:r>
      <w:r>
        <w:rPr>
          <w:rFonts w:hint="eastAsia" w:ascii="仿宋_GB2312" w:hAnsi="仿宋" w:cs="仿宋"/>
          <w:spacing w:val="-3"/>
          <w:szCs w:val="32"/>
          <w:highlight w:val="none"/>
        </w:rPr>
        <w:t>工程技术学院研究生国家奖学金</w:t>
      </w:r>
      <w:r>
        <w:rPr>
          <w:rFonts w:hint="eastAsia" w:ascii="仿宋_GB2312" w:hAnsi="仿宋" w:cs="仿宋"/>
          <w:spacing w:val="-3"/>
          <w:szCs w:val="32"/>
          <w:highlight w:val="none"/>
          <w:lang w:val="en-US" w:eastAsia="zh-CN"/>
        </w:rPr>
        <w:t>评审细则</w:t>
      </w:r>
      <w:r>
        <w:rPr>
          <w:rFonts w:hint="eastAsia" w:ascii="仿宋_GB2312" w:hAnsi="仿宋" w:cs="仿宋"/>
          <w:spacing w:val="-27"/>
          <w:szCs w:val="32"/>
          <w:highlight w:val="none"/>
        </w:rPr>
        <w:t>》</w:t>
      </w:r>
      <w:r>
        <w:rPr>
          <w:rFonts w:hint="eastAsia" w:ascii="仿宋_GB2312" w:hAnsi="仿宋" w:cs="仿宋"/>
          <w:szCs w:val="32"/>
          <w:highlight w:val="none"/>
        </w:rPr>
        <w:t>（中地大京工程院发〔2020〕</w:t>
      </w:r>
      <w:r>
        <w:rPr>
          <w:rFonts w:hint="eastAsia" w:ascii="仿宋_GB2312" w:hAnsi="仿宋" w:cs="仿宋"/>
          <w:szCs w:val="32"/>
          <w:highlight w:val="none"/>
          <w:lang w:val="en-US" w:eastAsia="zh-CN"/>
        </w:rPr>
        <w:t>6</w:t>
      </w:r>
      <w:r>
        <w:rPr>
          <w:rFonts w:hint="eastAsia" w:ascii="仿宋_GB2312" w:hAnsi="仿宋" w:cs="仿宋"/>
          <w:spacing w:val="-42"/>
          <w:szCs w:val="32"/>
          <w:highlight w:val="none"/>
        </w:rPr>
        <w:t xml:space="preserve"> 号</w:t>
      </w:r>
      <w:r>
        <w:rPr>
          <w:rFonts w:hint="eastAsia" w:ascii="仿宋_GB2312" w:hAnsi="仿宋" w:cs="仿宋"/>
          <w:szCs w:val="32"/>
          <w:highlight w:val="none"/>
        </w:rPr>
        <w:t>）同时废止。</w:t>
      </w:r>
      <w:bookmarkEnd w:id="1"/>
    </w:p>
    <w:p>
      <w:pPr>
        <w:pStyle w:val="4"/>
        <w:spacing w:line="360" w:lineRule="auto"/>
        <w:ind w:firstLine="643" w:firstLineChars="200"/>
        <w:rPr>
          <w:rFonts w:ascii="仿宋_GB2312" w:hAnsi="仿宋" w:cs="仿宋"/>
          <w:szCs w:val="32"/>
          <w:highlight w:val="none"/>
        </w:rPr>
      </w:pPr>
      <w:r>
        <w:rPr>
          <w:rFonts w:hint="eastAsia" w:ascii="仿宋_GB2312" w:hAnsi="仿宋" w:cs="仿宋"/>
          <w:b/>
          <w:szCs w:val="32"/>
          <w:highlight w:val="none"/>
        </w:rPr>
        <w:t>第十七条</w:t>
      </w:r>
      <w:r>
        <w:rPr>
          <w:rFonts w:hint="eastAsia" w:ascii="仿宋_GB2312" w:hAnsi="仿宋" w:cs="仿宋"/>
          <w:szCs w:val="32"/>
          <w:highlight w:val="none"/>
        </w:rPr>
        <w:t xml:space="preserve"> 本办法由工程技术学院党政办公室负责解释。</w:t>
      </w:r>
    </w:p>
    <w:p>
      <w:pPr>
        <w:spacing w:line="360" w:lineRule="auto"/>
        <w:rPr>
          <w:rFonts w:ascii="仿宋_GB2312" w:hAnsi="华文仿宋" w:eastAsia="仿宋_GB2312" w:cs="宋体"/>
          <w:bCs/>
          <w:color w:val="000000"/>
          <w:kern w:val="0"/>
          <w:sz w:val="32"/>
          <w:szCs w:val="32"/>
          <w:highlight w:val="none"/>
        </w:rPr>
      </w:pPr>
      <w:r>
        <w:rPr>
          <w:rFonts w:hint="eastAsia" w:ascii="仿宋_GB2312" w:hAnsi="华文仿宋" w:eastAsia="仿宋_GB2312" w:cs="宋体"/>
          <w:bCs/>
          <w:color w:val="000000"/>
          <w:kern w:val="0"/>
          <w:sz w:val="32"/>
          <w:szCs w:val="32"/>
          <w:highlight w:val="none"/>
        </w:rPr>
        <w:br w:type="page"/>
      </w:r>
    </w:p>
    <w:p>
      <w:pPr>
        <w:widowControl/>
        <w:spacing w:line="360" w:lineRule="auto"/>
        <w:rPr>
          <w:rFonts w:ascii="仿宋_GB2312" w:hAnsi="仿宋" w:eastAsia="仿宋_GB2312" w:cs="仿宋"/>
          <w:bCs/>
          <w:color w:val="000000"/>
          <w:kern w:val="0"/>
          <w:sz w:val="32"/>
          <w:szCs w:val="32"/>
          <w:highlight w:val="none"/>
        </w:rPr>
      </w:pPr>
      <w:r>
        <w:rPr>
          <w:rFonts w:hint="eastAsia" w:ascii="仿宋_GB2312" w:hAnsi="仿宋" w:eastAsia="仿宋_GB2312" w:cs="仿宋"/>
          <w:bCs/>
          <w:color w:val="000000"/>
          <w:kern w:val="0"/>
          <w:sz w:val="32"/>
          <w:szCs w:val="32"/>
          <w:highlight w:val="none"/>
        </w:rPr>
        <w:t>附件2：</w:t>
      </w:r>
    </w:p>
    <w:p>
      <w:pPr>
        <w:spacing w:line="360" w:lineRule="auto"/>
        <w:jc w:val="center"/>
        <w:rPr>
          <w:rFonts w:ascii="方正小标宋简体" w:hAnsi="方正小标宋简体" w:eastAsia="方正小标宋简体" w:cs="华文中宋"/>
          <w:sz w:val="36"/>
          <w:szCs w:val="44"/>
          <w:highlight w:val="none"/>
        </w:rPr>
      </w:pPr>
      <w:r>
        <w:rPr>
          <w:rFonts w:hint="eastAsia" w:ascii="方正小标宋简体" w:hAnsi="方正小标宋简体" w:eastAsia="方正小标宋简体" w:cs="华文中宋"/>
          <w:sz w:val="36"/>
          <w:szCs w:val="44"/>
          <w:highlight w:val="none"/>
        </w:rPr>
        <w:t>工程技术学院研究生国家奖学金综合得分计算方法</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研究生国家奖学金评比综合考虑学位课成绩、科研成果和日常表现三个方面，具体得分计算办法如下：</w:t>
      </w:r>
    </w:p>
    <w:p>
      <w:pPr>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一、学业分</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学业分=学位课加权平均分×30%</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注：学位课成绩为参评年度9月30日前所获得学位课成绩，未出课程成绩不参加计算，</w:t>
      </w:r>
      <w:r>
        <w:rPr>
          <w:rFonts w:hint="eastAsia" w:ascii="仿宋_GB2312" w:hAnsi="仿宋" w:eastAsia="仿宋_GB2312" w:cs="仿宋"/>
          <w:color w:val="000000" w:themeColor="text1"/>
          <w:sz w:val="32"/>
          <w:szCs w:val="32"/>
          <w:highlight w:val="none"/>
          <w14:textFill>
            <w14:solidFill>
              <w14:schemeClr w14:val="tx1"/>
            </w14:solidFill>
          </w14:textFill>
        </w:rPr>
        <w:t>学位课英语免修成绩按9</w:t>
      </w:r>
      <w:r>
        <w:rPr>
          <w:rFonts w:ascii="仿宋_GB2312" w:hAnsi="仿宋" w:eastAsia="仿宋_GB2312" w:cs="仿宋"/>
          <w:color w:val="000000" w:themeColor="text1"/>
          <w:sz w:val="32"/>
          <w:szCs w:val="32"/>
          <w:highlight w:val="none"/>
          <w14:textFill>
            <w14:solidFill>
              <w14:schemeClr w14:val="tx1"/>
            </w14:solidFill>
          </w14:textFill>
        </w:rPr>
        <w:t>0</w:t>
      </w:r>
      <w:r>
        <w:rPr>
          <w:rFonts w:hint="eastAsia" w:ascii="仿宋_GB2312" w:hAnsi="仿宋" w:eastAsia="仿宋_GB2312" w:cs="仿宋"/>
          <w:color w:val="000000" w:themeColor="text1"/>
          <w:sz w:val="32"/>
          <w:szCs w:val="32"/>
          <w:highlight w:val="none"/>
          <w14:textFill>
            <w14:solidFill>
              <w14:schemeClr w14:val="tx1"/>
            </w14:solidFill>
          </w14:textFill>
        </w:rPr>
        <w:t>分计算</w:t>
      </w:r>
      <w:r>
        <w:rPr>
          <w:rFonts w:hint="eastAsia" w:ascii="仿宋_GB2312" w:hAnsi="仿宋" w:eastAsia="仿宋_GB2312"/>
          <w:sz w:val="32"/>
          <w:szCs w:val="32"/>
          <w:highlight w:val="none"/>
        </w:rPr>
        <w:t>。</w:t>
      </w:r>
    </w:p>
    <w:p>
      <w:pPr>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二、科研成果分</w:t>
      </w:r>
    </w:p>
    <w:p>
      <w:pPr>
        <w:spacing w:line="360" w:lineRule="auto"/>
        <w:ind w:firstLine="648"/>
        <w:rPr>
          <w:rFonts w:ascii="仿宋_GB2312" w:hAnsi="仿宋" w:eastAsia="仿宋_GB2312"/>
          <w:sz w:val="32"/>
          <w:szCs w:val="32"/>
          <w:highlight w:val="none"/>
        </w:rPr>
      </w:pPr>
      <w:r>
        <w:rPr>
          <w:rFonts w:hint="eastAsia" w:ascii="仿宋_GB2312" w:hAnsi="仿宋" w:eastAsia="仿宋_GB2312"/>
          <w:sz w:val="32"/>
          <w:szCs w:val="32"/>
          <w:highlight w:val="none"/>
        </w:rPr>
        <w:t>（1）根据每个学科分类中期刊的影响因子高低，将SCI/SSCI论文分为标志性期刊、A、B、C、D五个区，具体如下：</w:t>
      </w:r>
    </w:p>
    <w:p>
      <w:pPr>
        <w:spacing w:line="360" w:lineRule="auto"/>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rPr>
        <w:t>标志性期刊：具体检索期刊参考研究生院最新版科研激励项目实施细则附件</w:t>
      </w:r>
      <w:r>
        <w:rPr>
          <w:rFonts w:ascii="仿宋_GB2312" w:hAnsi="仿宋" w:eastAsia="仿宋_GB2312"/>
          <w:sz w:val="32"/>
          <w:szCs w:val="32"/>
          <w:highlight w:val="none"/>
        </w:rPr>
        <w:t>2</w:t>
      </w:r>
      <w:r>
        <w:rPr>
          <w:rFonts w:hint="eastAsia" w:ascii="仿宋_GB2312" w:hAnsi="仿宋" w:eastAsia="仿宋_GB2312"/>
          <w:sz w:val="32"/>
          <w:szCs w:val="32"/>
          <w:highlight w:val="none"/>
        </w:rPr>
        <w:t>（中国地质大学（北京）自然科学高水平学术成果标志性期刊目录）；</w:t>
      </w:r>
    </w:p>
    <w:p>
      <w:pPr>
        <w:spacing w:line="360" w:lineRule="auto"/>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rPr>
        <w:t>A区：JCR（期刊引用报告）各学科分类中影响因子前10%（含10%）的期刊论文；</w:t>
      </w:r>
    </w:p>
    <w:p>
      <w:pPr>
        <w:spacing w:line="360" w:lineRule="auto"/>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rPr>
        <w:t>B区：JCR各学科分类中影响因子在10%-25%的期刊论文；</w:t>
      </w:r>
    </w:p>
    <w:p>
      <w:pPr>
        <w:spacing w:line="360" w:lineRule="auto"/>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rPr>
        <w:t>C区：JCR各学科分类中影响因子在25%-50%的期刊论文；</w:t>
      </w:r>
    </w:p>
    <w:p>
      <w:pPr>
        <w:spacing w:line="360" w:lineRule="auto"/>
        <w:ind w:firstLine="640"/>
        <w:rPr>
          <w:rFonts w:ascii="仿宋_GB2312" w:hAnsi="仿宋" w:eastAsia="仿宋_GB2312"/>
          <w:sz w:val="32"/>
          <w:szCs w:val="32"/>
          <w:highlight w:val="none"/>
        </w:rPr>
      </w:pPr>
      <w:r>
        <w:rPr>
          <w:rFonts w:hint="eastAsia" w:ascii="仿宋_GB2312" w:hAnsi="仿宋" w:eastAsia="仿宋_GB2312"/>
          <w:sz w:val="32"/>
          <w:szCs w:val="32"/>
          <w:highlight w:val="none"/>
        </w:rPr>
        <w:t>D区：JCR各学科分类中影响因子在50%以后的期刊论文及其它SCI/SSCI检索论文。</w:t>
      </w:r>
    </w:p>
    <w:p>
      <w:pPr>
        <w:spacing w:line="360" w:lineRule="auto"/>
        <w:rPr>
          <w:rFonts w:ascii="仿宋_GB2312" w:hAnsi="仿宋" w:eastAsia="仿宋_GB2312"/>
          <w:b/>
          <w:bCs/>
          <w:sz w:val="32"/>
          <w:szCs w:val="32"/>
          <w:highlight w:val="none"/>
        </w:rPr>
      </w:pPr>
      <w:r>
        <w:rPr>
          <w:rFonts w:hint="eastAsia" w:ascii="仿宋_GB2312" w:hAnsi="仿宋" w:eastAsia="仿宋_GB2312"/>
          <w:sz w:val="32"/>
          <w:szCs w:val="32"/>
          <w:highlight w:val="none"/>
        </w:rPr>
        <w:t xml:space="preserve">    </w:t>
      </w:r>
      <w:r>
        <w:rPr>
          <w:rFonts w:hint="eastAsia" w:ascii="仿宋_GB2312" w:hAnsi="仿宋" w:eastAsia="仿宋_GB2312"/>
          <w:b/>
          <w:bCs/>
          <w:sz w:val="32"/>
          <w:szCs w:val="32"/>
          <w:highlight w:val="none"/>
        </w:rPr>
        <w:t>每篇标志性期刊论文计3</w:t>
      </w:r>
      <w:r>
        <w:rPr>
          <w:rFonts w:ascii="仿宋_GB2312" w:hAnsi="仿宋" w:eastAsia="仿宋_GB2312"/>
          <w:b/>
          <w:bCs/>
          <w:sz w:val="32"/>
          <w:szCs w:val="32"/>
          <w:highlight w:val="none"/>
        </w:rPr>
        <w:t>0</w:t>
      </w:r>
      <w:r>
        <w:rPr>
          <w:rFonts w:hint="eastAsia" w:ascii="仿宋_GB2312" w:hAnsi="仿宋" w:eastAsia="仿宋_GB2312"/>
          <w:b/>
          <w:bCs/>
          <w:sz w:val="32"/>
          <w:szCs w:val="32"/>
          <w:highlight w:val="none"/>
        </w:rPr>
        <w:t>分，A区论文计25分，B区论文计20分，C区论文计15分，D区论文计10分。</w:t>
      </w:r>
    </w:p>
    <w:p>
      <w:pPr>
        <w:spacing w:line="360" w:lineRule="auto"/>
        <w:ind w:firstLine="645"/>
        <w:rPr>
          <w:rFonts w:ascii="仿宋_GB2312" w:hAnsi="仿宋" w:eastAsia="仿宋_GB2312"/>
          <w:sz w:val="32"/>
          <w:szCs w:val="32"/>
          <w:highlight w:val="none"/>
        </w:rPr>
      </w:pPr>
      <w:r>
        <w:rPr>
          <w:rFonts w:hint="eastAsia" w:ascii="仿宋_GB2312" w:hAnsi="仿宋" w:eastAsia="仿宋_GB2312"/>
          <w:sz w:val="32"/>
          <w:szCs w:val="32"/>
          <w:highlight w:val="none"/>
        </w:rPr>
        <w:t>（2）国家级科技成果奖励证书持有者计25分；省部级科技成果奖励证书持有者计20分。</w:t>
      </w:r>
    </w:p>
    <w:p>
      <w:pPr>
        <w:spacing w:line="360" w:lineRule="auto"/>
        <w:ind w:firstLine="645"/>
        <w:rPr>
          <w:rFonts w:ascii="仿宋_GB2312" w:hAnsi="仿宋" w:eastAsia="仿宋_GB2312"/>
          <w:sz w:val="32"/>
          <w:szCs w:val="32"/>
          <w:highlight w:val="none"/>
        </w:rPr>
      </w:pPr>
      <w:r>
        <w:rPr>
          <w:rFonts w:hint="eastAsia" w:ascii="仿宋_GB2312" w:hAnsi="仿宋" w:eastAsia="仿宋_GB2312"/>
          <w:sz w:val="32"/>
          <w:szCs w:val="32"/>
          <w:highlight w:val="none"/>
        </w:rPr>
        <w:t>（3）每项国际机构授权发明专利计20分；每项国家发明专利计10分。</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（4）每篇EI检索论文计7分。</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（5）每篇核心期刊论文或每项实用新型专利计3分。</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（6）每篇其他期刊论文计2分。</w:t>
      </w:r>
    </w:p>
    <w:p>
      <w:pPr>
        <w:spacing w:line="360" w:lineRule="auto"/>
        <w:ind w:firstLine="645"/>
        <w:rPr>
          <w:rFonts w:ascii="仿宋_GB2312" w:hAnsi="仿宋" w:eastAsia="仿宋_GB2312"/>
          <w:sz w:val="32"/>
          <w:szCs w:val="32"/>
          <w:highlight w:val="none"/>
        </w:rPr>
      </w:pPr>
      <w:r>
        <w:rPr>
          <w:rFonts w:hint="eastAsia" w:ascii="仿宋_GB2312" w:hAnsi="仿宋" w:eastAsia="仿宋_GB2312"/>
          <w:sz w:val="32"/>
          <w:szCs w:val="32"/>
          <w:highlight w:val="none"/>
        </w:rPr>
        <w:t>注：科技成果分数可累加。申请人必须为第一作者/第一发明人，且第一完成单位必须为中国地质大学（北京）。文章发表时间为攻读当前学位近一年时间（即自上一年度9月1日至当年8月31日）。SCI论文以Online时间为准，其他期刊论文以刊出时间为准。国家发明专利和实用新型专利以证书为准。本年度被中科院预警期刊文章不计入加分。</w:t>
      </w:r>
    </w:p>
    <w:p>
      <w:pPr>
        <w:spacing w:line="360" w:lineRule="auto"/>
        <w:ind w:firstLine="645"/>
        <w:rPr>
          <w:rFonts w:ascii="仿宋_GB2312" w:hAnsi="仿宋" w:eastAsia="仿宋_GB2312"/>
          <w:sz w:val="32"/>
          <w:szCs w:val="32"/>
          <w:highlight w:val="none"/>
        </w:rPr>
      </w:pPr>
      <w:r>
        <w:rPr>
          <w:rFonts w:hint="eastAsia" w:ascii="仿宋_GB2312" w:hAnsi="仿宋" w:eastAsia="仿宋_GB2312"/>
          <w:sz w:val="32"/>
          <w:szCs w:val="32"/>
          <w:highlight w:val="none"/>
        </w:rPr>
        <w:t>“核心期刊”以北京大学中文核心期刊要目或中国科学引文数据库（CSCD）为准，“其他期刊”以知网CNKI检索为准。发表在中文核心期刊增刊和EI期刊增刊的论文以CSCD或EI检索证明为准。其他期刊论文不包括国内国际会议论文集、摘要文集中的论文摘要、学术期刊中的插页短文、短评或报道、《中国科技论文在线》的学术论文。</w:t>
      </w:r>
    </w:p>
    <w:p>
      <w:pPr>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三、日常表现分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（1）担任校研究生会（副）主席计2分，担任校研究生会部长、院研究生会（副）主席、班长、党（团）支部书记计1分，班级委员计0.5分，且任职需满一年，由聘书或相应负责老师签字证明。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（2）科研类（数学建模、机器人大赛等）竞赛获得国家级奖励计3分，北京市级奖励计2分，校级奖励计1分（团体类奖项由团队内部协商，个人得分不超过该项得分的50%，不低于该项得分的10%）；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（3）文化体育竞赛类获得国家级奖励计3分，北京市级奖励计2分，校级奖励计1分，院级奖励计0.5分（团体类奖项由团队内部协商，个人得分不超过该项得分的50%，不低于该项得分的10%）；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在国际或国内学术论坛上作报告计4分，获奖再加2分；在省部级学术论坛上作报告计2分，获奖再加1分（团体类奖项由团队内部协商，个人得分不超过该项得分的50%，不低于该项得分的10%。）；在校级研究生学术论坛上作报告计1分，获奖再加0.5分；在院级研究生学术论坛上作报告并获奖计1分（邀请函导师签字证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（5）担任兼职辅导员且满一年计2分，担任各类助管（不含寒暑假）且满一年计0.5分（学工组或相应负责老师出示证明）。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注：日常表现单项分数可累加，但单项内分数不累加。以上日常表现所指时间为</w:t>
      </w:r>
      <w:r>
        <w:rPr>
          <w:rFonts w:hint="eastAsia" w:ascii="仿宋_GB2312" w:hAnsi="仿宋" w:eastAsia="仿宋_GB2312" w:cs="仿宋"/>
          <w:sz w:val="32"/>
          <w:szCs w:val="32"/>
          <w:highlight w:val="none"/>
        </w:rPr>
        <w:t>攻读当前学位近一年时间</w:t>
      </w:r>
      <w:r>
        <w:rPr>
          <w:rFonts w:hint="eastAsia" w:ascii="仿宋_GB2312" w:hAnsi="仿宋" w:eastAsia="仿宋_GB2312"/>
          <w:sz w:val="32"/>
          <w:szCs w:val="32"/>
          <w:highlight w:val="none"/>
        </w:rPr>
        <w:t>（即自上一年度9月1日至当年8月31日）。</w:t>
      </w:r>
    </w:p>
    <w:p>
      <w:pPr>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四、综合得分计算方法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硕士研究生综合得分=学业</w:t>
      </w:r>
      <w:bookmarkStart w:id="3" w:name="_GoBack"/>
      <w:bookmarkEnd w:id="3"/>
      <w:r>
        <w:rPr>
          <w:rFonts w:hint="eastAsia" w:ascii="仿宋_GB2312" w:hAnsi="仿宋" w:eastAsia="仿宋_GB2312"/>
          <w:sz w:val="32"/>
          <w:szCs w:val="32"/>
          <w:highlight w:val="none"/>
        </w:rPr>
        <w:t xml:space="preserve">分+科研成果分+日常表现分。 </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博士研究生综合得分=科研成果分+日常表现分。</w:t>
      </w:r>
    </w:p>
    <w:p>
      <w:pPr>
        <w:spacing w:line="360" w:lineRule="auto"/>
        <w:ind w:firstLine="640" w:firstLineChars="200"/>
        <w:rPr>
          <w:rFonts w:ascii="仿宋_GB2312" w:hAnsi="仿宋" w:eastAsia="仿宋_GB2312" w:cs="仿宋"/>
          <w:sz w:val="32"/>
          <w:szCs w:val="32"/>
          <w:highlight w:val="none"/>
        </w:rPr>
      </w:pPr>
      <w:bookmarkStart w:id="2" w:name="_Hlk145440620"/>
      <w:r>
        <w:rPr>
          <w:rFonts w:hint="eastAsia" w:ascii="仿宋_GB2312" w:hAnsi="仿宋" w:eastAsia="仿宋_GB2312"/>
          <w:sz w:val="32"/>
          <w:szCs w:val="32"/>
          <w:highlight w:val="none"/>
        </w:rPr>
        <w:t>注：</w:t>
      </w:r>
      <w:bookmarkEnd w:id="2"/>
      <w:r>
        <w:rPr>
          <w:rFonts w:hint="eastAsia" w:ascii="仿宋_GB2312" w:hAnsi="仿宋" w:eastAsia="仿宋_GB2312"/>
          <w:sz w:val="32"/>
          <w:szCs w:val="32"/>
          <w:highlight w:val="none"/>
        </w:rPr>
        <w:t>博士研究生需提交学业成绩单作为参考。</w:t>
      </w:r>
      <w:r>
        <w:rPr>
          <w:rFonts w:hint="eastAsia" w:ascii="仿宋_GB2312" w:hAnsi="仿宋" w:eastAsia="仿宋_GB2312" w:cs="仿宋"/>
          <w:sz w:val="32"/>
          <w:szCs w:val="32"/>
          <w:highlight w:val="none"/>
        </w:rPr>
        <w:t>同学科内综合得分相同者（精确到小数点后2位数字），按科研成果分、学业分、日常表现分为顺序，依次进行单项评比，直至分出先后顺序，如单项评比后依然同分，由研究生国家奖学金评审委员会评审裁定。</w:t>
      </w:r>
    </w:p>
    <w:p>
      <w:pPr>
        <w:pStyle w:val="4"/>
        <w:spacing w:line="360" w:lineRule="auto"/>
        <w:rPr>
          <w:rFonts w:ascii="仿宋_GB2312" w:hAnsi="仿宋" w:cs="仿宋"/>
          <w:szCs w:val="32"/>
          <w:highlight w:val="none"/>
        </w:rPr>
      </w:pPr>
    </w:p>
    <w:sectPr>
      <w:footerReference r:id="rId5" w:type="default"/>
      <w:footerReference r:id="rId6" w:type="even"/>
      <w:pgSz w:w="11906" w:h="16838"/>
      <w:pgMar w:top="2041" w:right="1474" w:bottom="2041" w:left="1474" w:header="851" w:footer="1701" w:gutter="0"/>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92" w:leftChars="140" w:right="392" w:rightChars="140"/>
      <w:rPr>
        <w:rStyle w:val="10"/>
        <w:rFonts w:ascii="宋体" w:hAnsi="宋体"/>
        <w:sz w:val="28"/>
      </w:rPr>
    </w:pPr>
    <w:r>
      <w:rPr>
        <w:rStyle w:val="10"/>
        <w:rFonts w:hint="eastAsia" w:ascii="仿宋_GB2312"/>
        <w:sz w:val="24"/>
      </w:rPr>
      <w:t xml:space="preserve">— </w:t>
    </w:r>
    <w:r>
      <w:rPr>
        <w:rFonts w:ascii="宋体" w:hAnsi="宋体"/>
        <w:sz w:val="24"/>
      </w:rPr>
      <w:fldChar w:fldCharType="begin"/>
    </w:r>
    <w:r>
      <w:rPr>
        <w:rStyle w:val="10"/>
        <w:rFonts w:ascii="宋体" w:hAnsi="宋体"/>
        <w:sz w:val="24"/>
      </w:rPr>
      <w:instrText xml:space="preserve">PAGE  </w:instrText>
    </w:r>
    <w:r>
      <w:rPr>
        <w:rFonts w:ascii="宋体" w:hAnsi="宋体"/>
        <w:sz w:val="24"/>
      </w:rPr>
      <w:fldChar w:fldCharType="separate"/>
    </w:r>
    <w:r>
      <w:rPr>
        <w:rStyle w:val="10"/>
        <w:rFonts w:ascii="宋体" w:hAnsi="宋体"/>
        <w:sz w:val="24"/>
      </w:rPr>
      <w:t>9</w:t>
    </w:r>
    <w:r>
      <w:rPr>
        <w:rFonts w:ascii="宋体" w:hAnsi="宋体"/>
        <w:sz w:val="24"/>
      </w:rPr>
      <w:fldChar w:fldCharType="end"/>
    </w:r>
    <w:r>
      <w:rPr>
        <w:rStyle w:val="10"/>
        <w:rFonts w:hint="eastAsia" w:ascii="仿宋_GB2312"/>
        <w:sz w:val="24"/>
      </w:rPr>
      <w:t xml:space="preserve"> —</w:t>
    </w:r>
  </w:p>
  <w:p>
    <w:pPr>
      <w:pStyle w:val="6"/>
      <w:framePr w:hSpace="227" w:wrap="around" w:vAnchor="page" w:hAnchor="page" w:x="1532" w:yAlign="top"/>
      <w:ind w:right="360" w:firstLine="360"/>
      <w:rPr>
        <w:rStyle w:val="10"/>
      </w:rPr>
    </w:pP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BF8D7"/>
    <w:multiLevelType w:val="singleLevel"/>
    <w:tmpl w:val="E16BF8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hNGMxYjZlMGU5OTgzNTViNjhhMTNjYjc0ZDc3ZmMifQ=="/>
  </w:docVars>
  <w:rsids>
    <w:rsidRoot w:val="00B33F8F"/>
    <w:rsid w:val="0005362C"/>
    <w:rsid w:val="0006448A"/>
    <w:rsid w:val="000C1B98"/>
    <w:rsid w:val="000C2B8A"/>
    <w:rsid w:val="001349B9"/>
    <w:rsid w:val="001C0602"/>
    <w:rsid w:val="002132F3"/>
    <w:rsid w:val="002252BE"/>
    <w:rsid w:val="002D22AC"/>
    <w:rsid w:val="0030127F"/>
    <w:rsid w:val="003676A2"/>
    <w:rsid w:val="00382432"/>
    <w:rsid w:val="00393B75"/>
    <w:rsid w:val="00455908"/>
    <w:rsid w:val="004574B6"/>
    <w:rsid w:val="00475244"/>
    <w:rsid w:val="004A4E81"/>
    <w:rsid w:val="004F7486"/>
    <w:rsid w:val="0050630D"/>
    <w:rsid w:val="00506646"/>
    <w:rsid w:val="00545F83"/>
    <w:rsid w:val="00587A72"/>
    <w:rsid w:val="005D7A07"/>
    <w:rsid w:val="005E2C10"/>
    <w:rsid w:val="006116CD"/>
    <w:rsid w:val="006568C5"/>
    <w:rsid w:val="0069506F"/>
    <w:rsid w:val="006A3BB1"/>
    <w:rsid w:val="006B2535"/>
    <w:rsid w:val="007461C2"/>
    <w:rsid w:val="007D325C"/>
    <w:rsid w:val="00813A30"/>
    <w:rsid w:val="00854E46"/>
    <w:rsid w:val="008E23F8"/>
    <w:rsid w:val="008E3949"/>
    <w:rsid w:val="00962EB6"/>
    <w:rsid w:val="009A29F8"/>
    <w:rsid w:val="009D0D4D"/>
    <w:rsid w:val="00AC7A66"/>
    <w:rsid w:val="00AE15F8"/>
    <w:rsid w:val="00B33F8F"/>
    <w:rsid w:val="00BC7292"/>
    <w:rsid w:val="00C04D31"/>
    <w:rsid w:val="00C375A5"/>
    <w:rsid w:val="00C41814"/>
    <w:rsid w:val="00C7476C"/>
    <w:rsid w:val="00C90FB5"/>
    <w:rsid w:val="00CB3B12"/>
    <w:rsid w:val="00D52E04"/>
    <w:rsid w:val="00D64D78"/>
    <w:rsid w:val="00D86E79"/>
    <w:rsid w:val="00DA7E42"/>
    <w:rsid w:val="00DB1083"/>
    <w:rsid w:val="00DF4F99"/>
    <w:rsid w:val="00E06C3A"/>
    <w:rsid w:val="00E23BF1"/>
    <w:rsid w:val="00E44F81"/>
    <w:rsid w:val="00E62FCC"/>
    <w:rsid w:val="00E87C4A"/>
    <w:rsid w:val="00E9372C"/>
    <w:rsid w:val="00E96100"/>
    <w:rsid w:val="00EF22EE"/>
    <w:rsid w:val="00F0620A"/>
    <w:rsid w:val="00F41D41"/>
    <w:rsid w:val="00F6388D"/>
    <w:rsid w:val="00FA35F0"/>
    <w:rsid w:val="0B7E45E9"/>
    <w:rsid w:val="14437A51"/>
    <w:rsid w:val="151172E9"/>
    <w:rsid w:val="180236E0"/>
    <w:rsid w:val="1E0565AE"/>
    <w:rsid w:val="2233091F"/>
    <w:rsid w:val="2D0527BE"/>
    <w:rsid w:val="3A81688B"/>
    <w:rsid w:val="3AB337BB"/>
    <w:rsid w:val="3F3C7761"/>
    <w:rsid w:val="40F347AB"/>
    <w:rsid w:val="4FA37512"/>
    <w:rsid w:val="4FE029A9"/>
    <w:rsid w:val="522605DD"/>
    <w:rsid w:val="56A9263D"/>
    <w:rsid w:val="5823702C"/>
    <w:rsid w:val="5F1F7708"/>
    <w:rsid w:val="6F9E17DB"/>
    <w:rsid w:val="794A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468" w:beforeLines="150"/>
      <w:jc w:val="center"/>
      <w:outlineLvl w:val="0"/>
    </w:pPr>
    <w:rPr>
      <w:rFonts w:eastAsia="方正黑体简体"/>
      <w:kern w:val="44"/>
      <w:sz w:val="3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ody Text"/>
    <w:basedOn w:val="1"/>
    <w:link w:val="13"/>
    <w:qFormat/>
    <w:uiPriority w:val="0"/>
    <w:pPr>
      <w:spacing w:line="640" w:lineRule="atLeast"/>
    </w:pPr>
    <w:rPr>
      <w:rFonts w:eastAsia="仿宋_GB2312"/>
      <w:sz w:val="32"/>
    </w:rPr>
  </w:style>
  <w:style w:type="paragraph" w:styleId="5">
    <w:name w:val="Balloon Text"/>
    <w:basedOn w:val="1"/>
    <w:link w:val="16"/>
    <w:semiHidden/>
    <w:unhideWhenUsed/>
    <w:uiPriority w:val="99"/>
    <w:pPr>
      <w:spacing w:line="240" w:lineRule="auto"/>
    </w:pPr>
    <w:rPr>
      <w:sz w:val="18"/>
      <w:szCs w:val="18"/>
    </w:rPr>
  </w:style>
  <w:style w:type="paragraph" w:styleId="6">
    <w:name w:val="footer"/>
    <w:basedOn w:val="1"/>
    <w:link w:val="12"/>
    <w:qFormat/>
    <w:uiPriority w:val="0"/>
    <w:pPr>
      <w:tabs>
        <w:tab w:val="center" w:pos="4153"/>
        <w:tab w:val="right" w:pos="8306"/>
        <w:tab w:val="clear" w:pos="0"/>
      </w:tabs>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 w:val="clear" w:pos="0"/>
      </w:tabs>
      <w:jc w:val="center"/>
    </w:pPr>
    <w:rPr>
      <w:sz w:val="18"/>
      <w:szCs w:val="18"/>
    </w:rPr>
  </w:style>
  <w:style w:type="character" w:styleId="10">
    <w:name w:val="page number"/>
    <w:basedOn w:val="9"/>
    <w:qFormat/>
    <w:uiPriority w:val="0"/>
  </w:style>
  <w:style w:type="character" w:styleId="11">
    <w:name w:val="annotation reference"/>
    <w:basedOn w:val="9"/>
    <w:semiHidden/>
    <w:unhideWhenUsed/>
    <w:uiPriority w:val="99"/>
    <w:rPr>
      <w:sz w:val="21"/>
      <w:szCs w:val="21"/>
    </w:rPr>
  </w:style>
  <w:style w:type="character" w:customStyle="1" w:styleId="12">
    <w:name w:val="页脚 字符"/>
    <w:basedOn w:val="9"/>
    <w:link w:val="6"/>
    <w:qFormat/>
    <w:uiPriority w:val="0"/>
    <w:rPr>
      <w:rFonts w:ascii="Times New Roman" w:hAnsi="Times New Roman" w:eastAsia="宋体" w:cs="Times New Roman"/>
      <w:sz w:val="18"/>
      <w:szCs w:val="18"/>
    </w:rPr>
  </w:style>
  <w:style w:type="character" w:customStyle="1" w:styleId="13">
    <w:name w:val="正文文本 字符"/>
    <w:basedOn w:val="9"/>
    <w:link w:val="4"/>
    <w:qFormat/>
    <w:uiPriority w:val="0"/>
    <w:rPr>
      <w:rFonts w:ascii="Times New Roman" w:hAnsi="Times New Roman" w:eastAsia="仿宋_GB2312" w:cs="Times New Roman"/>
      <w:sz w:val="32"/>
      <w:szCs w:val="24"/>
    </w:rPr>
  </w:style>
  <w:style w:type="character" w:customStyle="1" w:styleId="14">
    <w:name w:val="页眉 字符"/>
    <w:basedOn w:val="9"/>
    <w:link w:val="7"/>
    <w:qFormat/>
    <w:uiPriority w:val="99"/>
    <w:rPr>
      <w:rFonts w:ascii="Times New Roman" w:hAnsi="Times New Roman" w:eastAsia="宋体" w:cs="Times New Roman"/>
      <w:sz w:val="18"/>
      <w:szCs w:val="18"/>
    </w:rPr>
  </w:style>
  <w:style w:type="paragraph" w:customStyle="1" w:styleId="15">
    <w:name w:val="Char"/>
    <w:basedOn w:val="1"/>
    <w:semiHidden/>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character" w:customStyle="1" w:styleId="16">
    <w:name w:val="批注框文本 字符"/>
    <w:basedOn w:val="9"/>
    <w:link w:val="5"/>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554</Words>
  <Characters>3158</Characters>
  <Lines>26</Lines>
  <Paragraphs>7</Paragraphs>
  <TotalTime>2</TotalTime>
  <ScaleCrop>false</ScaleCrop>
  <LinksUpToDate>false</LinksUpToDate>
  <CharactersWithSpaces>3705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2023-10-09T05:06:00Z</dcterms:created>
  <dc:creator>zengyong</dc:creator>
  <cp:lastModifiedBy>丨  Renm</cp:lastModifiedBy>
  <cp:lastPrinted>2023-06-26T09:28:00Z</cp:lastPrinted>
  <dcterms:modified xsi:type="dcterms:W3CDTF">2023-10-09T10:05:48Z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B3D45AFA689D40B6A2102F23360011AC_13</vt:lpwstr>
  </property>
</Properties>
</file>